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163" w:rsidRPr="004567E2" w:rsidRDefault="00A11163" w:rsidP="00A11163">
      <w:pPr>
        <w:jc w:val="center"/>
        <w:rPr>
          <w:rFonts w:ascii="Times New Roman" w:hAnsi="Times New Roman" w:cs="Times New Roman"/>
          <w:b/>
          <w:bCs/>
          <w:sz w:val="24"/>
          <w:szCs w:val="24"/>
        </w:rPr>
      </w:pPr>
      <w:bookmarkStart w:id="0" w:name="_GoBack"/>
      <w:bookmarkEnd w:id="0"/>
      <w:r w:rsidRPr="004567E2">
        <w:rPr>
          <w:rFonts w:ascii="Times New Roman" w:hAnsi="Times New Roman" w:cs="Times New Roman"/>
          <w:b/>
          <w:bCs/>
          <w:sz w:val="24"/>
          <w:szCs w:val="24"/>
        </w:rPr>
        <w:t>Mapping of the ITU-T Outcomes and Outputs as per PP-18 Resolution 71 to the 11 WSIS Action Lines and to the 17 sustainable Development Goals (SDGs)</w:t>
      </w:r>
    </w:p>
    <w:p w:rsidR="00A11163" w:rsidRPr="004567E2" w:rsidRDefault="00A11163" w:rsidP="00A11163">
      <w:pPr>
        <w:rPr>
          <w:rFonts w:ascii="Times New Roman" w:hAnsi="Times New Roman" w:cs="Times New Roman"/>
          <w:b/>
          <w:bCs/>
          <w:sz w:val="24"/>
          <w:szCs w:val="24"/>
        </w:rPr>
      </w:pPr>
      <w:r w:rsidRPr="004567E2">
        <w:rPr>
          <w:rFonts w:ascii="Times New Roman" w:hAnsi="Times New Roman" w:cs="Times New Roman"/>
          <w:b/>
          <w:bCs/>
          <w:sz w:val="24"/>
          <w:szCs w:val="24"/>
        </w:rPr>
        <w:t xml:space="preserve">Status: </w:t>
      </w:r>
      <w:r w:rsidRPr="004567E2">
        <w:rPr>
          <w:rFonts w:ascii="Times New Roman" w:hAnsi="Times New Roman" w:cs="Times New Roman"/>
          <w:bCs/>
          <w:sz w:val="24"/>
          <w:szCs w:val="24"/>
        </w:rPr>
        <w:t>1 December 2018</w:t>
      </w:r>
    </w:p>
    <w:tbl>
      <w:tblPr>
        <w:tblStyle w:val="TableGrid"/>
        <w:tblW w:w="14029" w:type="dxa"/>
        <w:tblLayout w:type="fixed"/>
        <w:tblLook w:val="04A0" w:firstRow="1" w:lastRow="0" w:firstColumn="1" w:lastColumn="0" w:noHBand="0" w:noVBand="1"/>
      </w:tblPr>
      <w:tblGrid>
        <w:gridCol w:w="760"/>
        <w:gridCol w:w="756"/>
        <w:gridCol w:w="2403"/>
        <w:gridCol w:w="8278"/>
        <w:gridCol w:w="896"/>
        <w:gridCol w:w="936"/>
      </w:tblGrid>
      <w:tr w:rsidR="00A11163" w:rsidRPr="004567E2" w:rsidTr="00A11163">
        <w:trPr>
          <w:tblHeader/>
        </w:trPr>
        <w:tc>
          <w:tcPr>
            <w:tcW w:w="760" w:type="dxa"/>
            <w:vAlign w:val="center"/>
          </w:tcPr>
          <w:p w:rsidR="00A11163" w:rsidRPr="004567E2" w:rsidRDefault="00A11163" w:rsidP="00A11163">
            <w:pPr>
              <w:pStyle w:val="Default"/>
              <w:jc w:val="center"/>
              <w:rPr>
                <w:rFonts w:ascii="Times New Roman" w:hAnsi="Times New Roman" w:cs="Times New Roman"/>
                <w:b/>
                <w:bCs/>
              </w:rPr>
            </w:pPr>
            <w:r w:rsidRPr="004567E2">
              <w:rPr>
                <w:rFonts w:ascii="Times New Roman" w:hAnsi="Times New Roman" w:cs="Times New Roman"/>
                <w:b/>
                <w:bCs/>
              </w:rPr>
              <w:t>Res. 71 Out</w:t>
            </w:r>
            <w:r w:rsidRPr="004567E2">
              <w:rPr>
                <w:rFonts w:ascii="Times New Roman" w:hAnsi="Times New Roman" w:cs="Times New Roman"/>
                <w:b/>
                <w:bCs/>
              </w:rPr>
              <w:softHyphen/>
              <w:t>puts</w:t>
            </w:r>
          </w:p>
        </w:tc>
        <w:tc>
          <w:tcPr>
            <w:tcW w:w="756" w:type="dxa"/>
            <w:vAlign w:val="center"/>
          </w:tcPr>
          <w:p w:rsidR="00A11163" w:rsidRPr="004567E2" w:rsidRDefault="00A11163" w:rsidP="00A11163">
            <w:pPr>
              <w:pStyle w:val="Default"/>
              <w:jc w:val="center"/>
              <w:rPr>
                <w:rFonts w:ascii="Times New Roman" w:hAnsi="Times New Roman" w:cs="Times New Roman"/>
                <w:b/>
                <w:bCs/>
              </w:rPr>
            </w:pPr>
            <w:r w:rsidRPr="004567E2">
              <w:rPr>
                <w:rFonts w:ascii="Times New Roman" w:hAnsi="Times New Roman" w:cs="Times New Roman"/>
                <w:b/>
                <w:bCs/>
              </w:rPr>
              <w:t>Acti</w:t>
            </w:r>
            <w:r w:rsidRPr="004567E2">
              <w:rPr>
                <w:rFonts w:ascii="Times New Roman" w:hAnsi="Times New Roman" w:cs="Times New Roman"/>
                <w:b/>
                <w:bCs/>
              </w:rPr>
              <w:softHyphen/>
              <w:t>vity# (per Out</w:t>
            </w:r>
            <w:r w:rsidRPr="004567E2">
              <w:rPr>
                <w:rFonts w:ascii="Times New Roman" w:hAnsi="Times New Roman" w:cs="Times New Roman"/>
                <w:b/>
                <w:bCs/>
              </w:rPr>
              <w:softHyphen/>
              <w:t>put)</w:t>
            </w:r>
          </w:p>
        </w:tc>
        <w:tc>
          <w:tcPr>
            <w:tcW w:w="2403" w:type="dxa"/>
            <w:vAlign w:val="center"/>
          </w:tcPr>
          <w:p w:rsidR="00A11163" w:rsidRPr="004567E2" w:rsidRDefault="00A11163" w:rsidP="00A11163">
            <w:pPr>
              <w:pStyle w:val="Default"/>
              <w:jc w:val="center"/>
              <w:rPr>
                <w:rFonts w:ascii="Times New Roman" w:hAnsi="Times New Roman" w:cs="Times New Roman"/>
                <w:b/>
                <w:bCs/>
              </w:rPr>
            </w:pPr>
            <w:r w:rsidRPr="004567E2">
              <w:rPr>
                <w:rFonts w:ascii="Times New Roman" w:hAnsi="Times New Roman" w:cs="Times New Roman"/>
                <w:b/>
                <w:bCs/>
              </w:rPr>
              <w:t>Activity title</w:t>
            </w:r>
          </w:p>
        </w:tc>
        <w:tc>
          <w:tcPr>
            <w:tcW w:w="8278" w:type="dxa"/>
            <w:vAlign w:val="center"/>
          </w:tcPr>
          <w:p w:rsidR="00A11163" w:rsidRPr="004567E2" w:rsidRDefault="00A11163" w:rsidP="00A11163">
            <w:pPr>
              <w:pStyle w:val="Default"/>
              <w:jc w:val="center"/>
              <w:rPr>
                <w:rFonts w:ascii="Times New Roman" w:hAnsi="Times New Roman" w:cs="Times New Roman"/>
                <w:b/>
                <w:bCs/>
              </w:rPr>
            </w:pPr>
            <w:r w:rsidRPr="004567E2">
              <w:rPr>
                <w:rFonts w:ascii="Times New Roman" w:hAnsi="Times New Roman" w:cs="Times New Roman"/>
                <w:b/>
                <w:bCs/>
              </w:rPr>
              <w:t>Activity Description</w:t>
            </w:r>
          </w:p>
        </w:tc>
        <w:tc>
          <w:tcPr>
            <w:tcW w:w="896" w:type="dxa"/>
            <w:vAlign w:val="center"/>
          </w:tcPr>
          <w:p w:rsidR="00A11163" w:rsidRPr="004567E2" w:rsidRDefault="00A11163" w:rsidP="00A11163">
            <w:pPr>
              <w:pStyle w:val="Default"/>
              <w:jc w:val="center"/>
              <w:rPr>
                <w:rFonts w:ascii="Times New Roman" w:hAnsi="Times New Roman" w:cs="Times New Roman"/>
                <w:b/>
                <w:bCs/>
              </w:rPr>
            </w:pPr>
            <w:r w:rsidRPr="004567E2">
              <w:rPr>
                <w:rFonts w:ascii="Times New Roman" w:hAnsi="Times New Roman" w:cs="Times New Roman"/>
                <w:b/>
                <w:bCs/>
              </w:rPr>
              <w:t>WSIS ALs</w:t>
            </w:r>
          </w:p>
        </w:tc>
        <w:tc>
          <w:tcPr>
            <w:tcW w:w="936" w:type="dxa"/>
            <w:vAlign w:val="center"/>
          </w:tcPr>
          <w:p w:rsidR="00A11163" w:rsidRPr="004567E2" w:rsidRDefault="00A11163" w:rsidP="00A11163">
            <w:pPr>
              <w:pStyle w:val="Default"/>
              <w:jc w:val="center"/>
              <w:rPr>
                <w:rFonts w:ascii="Times New Roman" w:hAnsi="Times New Roman" w:cs="Times New Roman"/>
                <w:b/>
                <w:bCs/>
              </w:rPr>
            </w:pPr>
            <w:r w:rsidRPr="004567E2">
              <w:rPr>
                <w:rFonts w:ascii="Times New Roman" w:hAnsi="Times New Roman" w:cs="Times New Roman"/>
                <w:b/>
                <w:bCs/>
              </w:rPr>
              <w:t>SDG tar</w:t>
            </w:r>
            <w:r w:rsidRPr="004567E2">
              <w:rPr>
                <w:rFonts w:ascii="Times New Roman" w:hAnsi="Times New Roman" w:cs="Times New Roman"/>
                <w:b/>
                <w:bCs/>
              </w:rPr>
              <w:softHyphen/>
              <w:t>gets</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I.4-b</w:t>
            </w:r>
          </w:p>
        </w:tc>
        <w:tc>
          <w:tcPr>
            <w:tcW w:w="75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1</w:t>
            </w: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sz w:val="24"/>
                <w:szCs w:val="24"/>
              </w:rPr>
              <w:t>Women In Standardization Expert (WISE)</w:t>
            </w:r>
          </w:p>
        </w:tc>
        <w:tc>
          <w:tcPr>
            <w:tcW w:w="8278" w:type="dxa"/>
          </w:tcPr>
          <w:p w:rsidR="00A11163" w:rsidRPr="004567E2" w:rsidRDefault="00A11163" w:rsidP="00A11163">
            <w:pPr>
              <w:rPr>
                <w:rFonts w:ascii="Times New Roman" w:hAnsi="Times New Roman" w:cs="Times New Roman"/>
                <w:b/>
                <w:bCs/>
                <w:color w:val="000000"/>
                <w:sz w:val="24"/>
                <w:szCs w:val="24"/>
              </w:rPr>
            </w:pPr>
            <w:r w:rsidRPr="004567E2">
              <w:rPr>
                <w:rFonts w:ascii="Times New Roman" w:hAnsi="Times New Roman" w:cs="Times New Roman"/>
                <w:sz w:val="24"/>
                <w:szCs w:val="24"/>
              </w:rPr>
              <w:t xml:space="preserve">WTSA-16 reaffirmed ITU-T </w:t>
            </w:r>
            <w:hyperlink w:anchor="Resolution_55" w:history="1">
              <w:r w:rsidRPr="004567E2">
                <w:rPr>
                  <w:rStyle w:val="Hyperlink"/>
                  <w:rFonts w:ascii="Times New Roman" w:hAnsi="Times New Roman" w:cs="Times New Roman"/>
                  <w:sz w:val="24"/>
                  <w:szCs w:val="24"/>
                </w:rPr>
                <w:t>Resolution 55</w:t>
              </w:r>
            </w:hyperlink>
            <w:r w:rsidRPr="004567E2">
              <w:rPr>
                <w:rFonts w:ascii="Times New Roman" w:hAnsi="Times New Roman" w:cs="Times New Roman"/>
                <w:sz w:val="24"/>
                <w:szCs w:val="24"/>
              </w:rPr>
              <w:t xml:space="preserve"> on promoting a gender equality in ITU Telecommunication Standardization Sector activities, committing ITU-T to continue its efforts to ensure that all of the its policies, work programmes, information dissemination activities, publications, study groups, seminars, assemblies and conferences reflect the Union’s commitment to gender equality and the empowerment of women. WISE is dedicated to promoting women in standardization, telecommunication/ ICTs and related fields and to recognizing men and women who have made and continue to make remarkable contribution in promoting women and the work of women in these fields.</w:t>
            </w:r>
            <w:r w:rsidRPr="004567E2">
              <w:rPr>
                <w:rFonts w:ascii="Times New Roman" w:hAnsi="Times New Roman" w:cs="Times New Roman"/>
                <w:sz w:val="24"/>
                <w:szCs w:val="24"/>
              </w:rPr>
              <w:br/>
              <w:t xml:space="preserve">The first </w:t>
            </w:r>
            <w:hyperlink r:id="rId8" w:history="1">
              <w:r w:rsidRPr="004567E2">
                <w:rPr>
                  <w:rStyle w:val="Hyperlink"/>
                  <w:rFonts w:ascii="Times New Roman" w:hAnsi="Times New Roman" w:cs="Times New Roman"/>
                  <w:sz w:val="24"/>
                  <w:szCs w:val="24"/>
                </w:rPr>
                <w:t>WISE event</w:t>
              </w:r>
            </w:hyperlink>
            <w:r w:rsidRPr="004567E2">
              <w:rPr>
                <w:rFonts w:ascii="Times New Roman" w:hAnsi="Times New Roman" w:cs="Times New Roman"/>
                <w:sz w:val="24"/>
                <w:szCs w:val="24"/>
              </w:rPr>
              <w:t xml:space="preserve"> was held on 30 October 2016 at WTSA-16. The event consisted of a workshop on practical skills for successful negotiations, as part of ITU-T's commitment to promoting equality for men and women delegates attending its meetings and conferences, followed by a panel discussion highlighting the experiences of leading women from the ICT and standardization fields.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C10</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5.5</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I.4-c</w:t>
            </w:r>
          </w:p>
        </w:tc>
        <w:tc>
          <w:tcPr>
            <w:tcW w:w="75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1</w:t>
            </w: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Gender WS</w:t>
            </w:r>
          </w:p>
        </w:tc>
        <w:tc>
          <w:tcPr>
            <w:tcW w:w="8278" w:type="dxa"/>
          </w:tcPr>
          <w:p w:rsidR="00A11163" w:rsidRPr="004567E2" w:rsidRDefault="007835EF" w:rsidP="00A11163">
            <w:pPr>
              <w:rPr>
                <w:rFonts w:ascii="Times New Roman" w:hAnsi="Times New Roman" w:cs="Times New Roman"/>
                <w:b/>
                <w:bCs/>
                <w:color w:val="000000"/>
                <w:sz w:val="24"/>
                <w:szCs w:val="24"/>
              </w:rPr>
            </w:pPr>
            <w:hyperlink r:id="rId9" w:history="1">
              <w:r w:rsidR="00A11163" w:rsidRPr="004567E2">
                <w:rPr>
                  <w:rStyle w:val="Hyperlink"/>
                  <w:rFonts w:ascii="Times New Roman" w:hAnsi="Times New Roman" w:cs="Times New Roman"/>
                  <w:sz w:val="24"/>
                  <w:szCs w:val="24"/>
                </w:rPr>
                <w:t>Forum on “The gender dimension in ICT and environment through innovation and entrepreneurship”, Manizales, Colombia, 4 April 2017</w:t>
              </w:r>
            </w:hyperlink>
            <w:r w:rsidR="00A11163" w:rsidRPr="004567E2">
              <w:rPr>
                <w:rStyle w:val="Hyperlink"/>
                <w:rFonts w:ascii="Times New Roman" w:hAnsi="Times New Roman" w:cs="Times New Roman"/>
                <w:sz w:val="24"/>
                <w:szCs w:val="24"/>
              </w:rPr>
              <w:br/>
            </w:r>
            <w:r w:rsidR="00A11163" w:rsidRPr="004567E2">
              <w:rPr>
                <w:rFonts w:ascii="Times New Roman" w:hAnsi="Times New Roman" w:cs="Times New Roman"/>
                <w:sz w:val="24"/>
                <w:szCs w:val="24"/>
              </w:rPr>
              <w:t>This Forum examined how the linkages between gender, ICTs and the environment for development and entrepreneurship, can facilitate sustainable use of resources, while promoting gender equity and fostering socio-economic development through standardization. It also explored the importance of gender aspects in ICT use for improved quality of life, sustainable development, water availability, and pollution management along with resource efficiency.</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C10</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5.5</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T.1-3</w:t>
            </w:r>
          </w:p>
        </w:tc>
        <w:tc>
          <w:tcPr>
            <w:tcW w:w="756" w:type="dxa"/>
          </w:tcPr>
          <w:p w:rsidR="00A11163" w:rsidRPr="004567E2" w:rsidRDefault="00A11163" w:rsidP="00A11163">
            <w:pPr>
              <w:pStyle w:val="Default"/>
              <w:numPr>
                <w:ilvl w:val="0"/>
                <w:numId w:val="16"/>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color w:val="000000"/>
                <w:sz w:val="24"/>
                <w:szCs w:val="24"/>
              </w:rPr>
            </w:pPr>
            <w:r w:rsidRPr="004567E2">
              <w:rPr>
                <w:rFonts w:ascii="Times New Roman" w:hAnsi="Times New Roman" w:cs="Times New Roman"/>
                <w:color w:val="000000"/>
                <w:sz w:val="24"/>
                <w:szCs w:val="24"/>
              </w:rPr>
              <w:t>ITU-T FG-Innovation</w:t>
            </w:r>
          </w:p>
        </w:tc>
        <w:tc>
          <w:tcPr>
            <w:tcW w:w="8278" w:type="dxa"/>
          </w:tcPr>
          <w:p w:rsidR="00A11163" w:rsidRPr="004567E2" w:rsidRDefault="00A11163" w:rsidP="00A11163">
            <w:pPr>
              <w:rPr>
                <w:rFonts w:ascii="Times New Roman" w:hAnsi="Times New Roman" w:cs="Times New Roman"/>
                <w:color w:val="000000"/>
                <w:sz w:val="24"/>
                <w:szCs w:val="24"/>
              </w:rPr>
            </w:pPr>
            <w:r w:rsidRPr="004567E2">
              <w:rPr>
                <w:rFonts w:ascii="Times New Roman" w:hAnsi="Times New Roman" w:cs="Times New Roman"/>
                <w:color w:val="000000"/>
                <w:sz w:val="24"/>
                <w:szCs w:val="24"/>
              </w:rPr>
              <w:t>ITU-T Focus Group on Innovation performed case studies of ICT innovators for developing countries.</w:t>
            </w:r>
          </w:p>
        </w:tc>
        <w:tc>
          <w:tcPr>
            <w:tcW w:w="896" w:type="dxa"/>
          </w:tcPr>
          <w:p w:rsidR="00A11163" w:rsidRPr="004567E2" w:rsidRDefault="00A11163" w:rsidP="00A11163">
            <w:pPr>
              <w:pStyle w:val="Default"/>
              <w:rPr>
                <w:rFonts w:ascii="Times New Roman" w:hAnsi="Times New Roman" w:cs="Times New Roman"/>
                <w:bCs/>
              </w:rPr>
            </w:pP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9.1, 17.6</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T.1-3</w:t>
            </w:r>
          </w:p>
        </w:tc>
        <w:tc>
          <w:tcPr>
            <w:tcW w:w="756" w:type="dxa"/>
          </w:tcPr>
          <w:p w:rsidR="00A11163" w:rsidRPr="004567E2" w:rsidRDefault="00A11163" w:rsidP="00A11163">
            <w:pPr>
              <w:pStyle w:val="Default"/>
              <w:numPr>
                <w:ilvl w:val="0"/>
                <w:numId w:val="16"/>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FG AC</w:t>
            </w:r>
          </w:p>
        </w:tc>
        <w:tc>
          <w:tcPr>
            <w:tcW w:w="8278" w:type="dxa"/>
          </w:tcPr>
          <w:p w:rsidR="00A11163" w:rsidRPr="004567E2" w:rsidRDefault="00A11163" w:rsidP="00A11163">
            <w:pPr>
              <w:rPr>
                <w:rFonts w:ascii="Times New Roman" w:hAnsi="Times New Roman" w:cs="Times New Roman"/>
                <w:bCs/>
                <w:iCs/>
                <w:color w:val="000000"/>
                <w:sz w:val="24"/>
                <w:szCs w:val="24"/>
              </w:rPr>
            </w:pPr>
            <w:r w:rsidRPr="004567E2">
              <w:rPr>
                <w:rFonts w:ascii="Times New Roman" w:hAnsi="Times New Roman" w:cs="Times New Roman"/>
                <w:bCs/>
                <w:iCs/>
                <w:color w:val="000000"/>
                <w:sz w:val="24"/>
                <w:szCs w:val="24"/>
              </w:rPr>
              <w:t>Aviation applications of cloud computing for flight-data monitoring: The ITU-T Focus Group on flight-data monitoring benefited from the participation of the International Civil Aviation Organization (ICAO) and the International Air Transport Association (IATA), as the participation of the aviation and avionics sectors was crucial to ITU-T’s study of aviation applications of cloud computing for flight data monitoring.</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C4, C11</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9.1, 17.6, 17.16, 17.17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T.1-3</w:t>
            </w:r>
          </w:p>
        </w:tc>
        <w:tc>
          <w:tcPr>
            <w:tcW w:w="756" w:type="dxa"/>
          </w:tcPr>
          <w:p w:rsidR="00A11163" w:rsidRPr="004567E2" w:rsidRDefault="00A11163" w:rsidP="00A11163">
            <w:pPr>
              <w:pStyle w:val="Default"/>
              <w:numPr>
                <w:ilvl w:val="0"/>
                <w:numId w:val="16"/>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w:t>
            </w:r>
          </w:p>
        </w:tc>
        <w:tc>
          <w:tcPr>
            <w:tcW w:w="8278" w:type="dxa"/>
          </w:tcPr>
          <w:p w:rsidR="00A11163" w:rsidRPr="004567E2" w:rsidRDefault="00A11163" w:rsidP="00A11163">
            <w:pPr>
              <w:keepNext/>
              <w:keepLines/>
              <w:widowControl w:val="0"/>
              <w:rPr>
                <w:rFonts w:ascii="Times New Roman" w:hAnsi="Times New Roman" w:cs="Times New Roman"/>
                <w:sz w:val="24"/>
                <w:szCs w:val="24"/>
              </w:rPr>
            </w:pPr>
            <w:r w:rsidRPr="004567E2">
              <w:rPr>
                <w:rFonts w:ascii="Times New Roman" w:hAnsi="Times New Roman" w:cs="Times New Roman"/>
                <w:sz w:val="24"/>
                <w:szCs w:val="24"/>
              </w:rPr>
              <w:t>Launch of Study Group 20 on IoT and its applications, including smart cities and communities in 2015 and its work on standardization work for IoT and its application for smart cities</w:t>
            </w:r>
          </w:p>
          <w:p w:rsidR="00A11163" w:rsidRPr="004567E2" w:rsidRDefault="00A11163" w:rsidP="00A11163">
            <w:pPr>
              <w:rPr>
                <w:rFonts w:ascii="Times New Roman" w:eastAsia="Batang" w:hAnsi="Times New Roman" w:cs="Times New Roman"/>
                <w:color w:val="000000" w:themeColor="text1"/>
                <w:sz w:val="24"/>
                <w:szCs w:val="24"/>
                <w:lang w:eastAsia="en-US"/>
              </w:rPr>
            </w:pPr>
            <w:r w:rsidRPr="004567E2">
              <w:rPr>
                <w:rFonts w:ascii="Times New Roman" w:eastAsia="Batang" w:hAnsi="Times New Roman" w:cs="Times New Roman"/>
                <w:color w:val="000000" w:themeColor="text1"/>
                <w:sz w:val="24"/>
                <w:szCs w:val="24"/>
                <w:lang w:eastAsia="en-US"/>
              </w:rPr>
              <w:t>Study Group 20 is responsible for studies relating to Internet of things (IoT) and its applications, and smart cities and communities (SC&amp;C). This includes studies relating to big data aspects of IoT and SC&amp;C, e</w:t>
            </w:r>
            <w:r w:rsidRPr="004567E2">
              <w:rPr>
                <w:rFonts w:ascii="Times New Roman" w:eastAsia="Batang" w:hAnsi="Times New Roman" w:cs="Times New Roman"/>
                <w:color w:val="000000" w:themeColor="text1"/>
                <w:sz w:val="24"/>
                <w:szCs w:val="24"/>
                <w:lang w:eastAsia="en-US"/>
              </w:rPr>
              <w:noBreakHyphen/>
              <w:t>services and smart services for SC&amp;C.</w:t>
            </w:r>
          </w:p>
          <w:p w:rsidR="00A11163" w:rsidRPr="004567E2" w:rsidRDefault="007835EF" w:rsidP="00A11163">
            <w:pPr>
              <w:pStyle w:val="ListParagraph"/>
              <w:numPr>
                <w:ilvl w:val="0"/>
                <w:numId w:val="32"/>
              </w:numPr>
              <w:rPr>
                <w:rFonts w:ascii="Times New Roman" w:hAnsi="Times New Roman"/>
                <w:sz w:val="24"/>
                <w:szCs w:val="24"/>
                <w:lang w:val="en-CA"/>
              </w:rPr>
            </w:pPr>
            <w:hyperlink r:id="rId10" w:history="1">
              <w:r w:rsidR="00A11163" w:rsidRPr="004567E2">
                <w:rPr>
                  <w:rStyle w:val="Hyperlink"/>
                  <w:rFonts w:ascii="Times New Roman" w:hAnsi="Times New Roman"/>
                  <w:sz w:val="24"/>
                  <w:szCs w:val="24"/>
                  <w:lang w:val="en-CA"/>
                </w:rPr>
                <w:t>ITU-T SG20 on Internet of things (IoT) and smart cities and communities (SC&amp;C) Regional Group for Africa (SG20RE-AFR)</w:t>
              </w:r>
            </w:hyperlink>
            <w:r w:rsidR="00A11163" w:rsidRPr="004567E2">
              <w:rPr>
                <w:rFonts w:ascii="Times New Roman" w:hAnsi="Times New Roman"/>
                <w:sz w:val="24"/>
                <w:szCs w:val="24"/>
                <w:lang w:val="en-CA"/>
              </w:rPr>
              <w:t xml:space="preserve"> </w:t>
            </w:r>
          </w:p>
          <w:p w:rsidR="00A11163" w:rsidRPr="004567E2" w:rsidRDefault="007835EF" w:rsidP="00A11163">
            <w:pPr>
              <w:pStyle w:val="ListParagraph"/>
              <w:numPr>
                <w:ilvl w:val="0"/>
                <w:numId w:val="32"/>
              </w:numPr>
              <w:rPr>
                <w:rFonts w:ascii="Times New Roman" w:hAnsi="Times New Roman"/>
                <w:sz w:val="24"/>
                <w:szCs w:val="24"/>
                <w:lang w:val="en-CA"/>
              </w:rPr>
            </w:pPr>
            <w:hyperlink r:id="rId11" w:history="1">
              <w:r w:rsidR="00A11163" w:rsidRPr="004567E2">
                <w:rPr>
                  <w:rStyle w:val="Hyperlink"/>
                  <w:rFonts w:ascii="Times New Roman" w:hAnsi="Times New Roman"/>
                  <w:sz w:val="24"/>
                  <w:szCs w:val="24"/>
                  <w:lang w:val="en-CA"/>
                </w:rPr>
                <w:t>ITU-T SG20 Regional Group for Latin America (SG20RG-LATAM)</w:t>
              </w:r>
            </w:hyperlink>
          </w:p>
          <w:p w:rsidR="00A11163" w:rsidRPr="004567E2" w:rsidRDefault="007835EF" w:rsidP="00A11163">
            <w:pPr>
              <w:pStyle w:val="ListParagraph"/>
              <w:numPr>
                <w:ilvl w:val="0"/>
                <w:numId w:val="32"/>
              </w:numPr>
              <w:rPr>
                <w:rFonts w:ascii="Times New Roman" w:hAnsi="Times New Roman"/>
                <w:sz w:val="24"/>
                <w:szCs w:val="24"/>
                <w:lang w:val="en-CA"/>
              </w:rPr>
            </w:pPr>
            <w:hyperlink r:id="rId12" w:history="1">
              <w:r w:rsidR="00A11163" w:rsidRPr="004567E2">
                <w:rPr>
                  <w:rStyle w:val="Hyperlink"/>
                  <w:rFonts w:ascii="Times New Roman" w:hAnsi="Times New Roman"/>
                  <w:sz w:val="24"/>
                  <w:szCs w:val="24"/>
                  <w:lang w:val="en-CA"/>
                </w:rPr>
                <w:t>ITU-T SG20 Regional Group for the Arab Region (SG20RG-ARB)</w:t>
              </w:r>
            </w:hyperlink>
          </w:p>
          <w:p w:rsidR="00A11163" w:rsidRPr="004567E2" w:rsidRDefault="007835EF" w:rsidP="00A11163">
            <w:pPr>
              <w:pStyle w:val="ListParagraph"/>
              <w:numPr>
                <w:ilvl w:val="0"/>
                <w:numId w:val="32"/>
              </w:numPr>
              <w:rPr>
                <w:rFonts w:ascii="Times New Roman" w:hAnsi="Times New Roman"/>
                <w:lang w:val="en-CA"/>
              </w:rPr>
            </w:pPr>
            <w:hyperlink r:id="rId13" w:history="1">
              <w:r w:rsidR="00A11163" w:rsidRPr="004567E2">
                <w:rPr>
                  <w:rStyle w:val="Hyperlink"/>
                  <w:rFonts w:ascii="Times New Roman" w:hAnsi="Times New Roman"/>
                  <w:sz w:val="24"/>
                  <w:szCs w:val="24"/>
                  <w:lang w:val="en-CA"/>
                </w:rPr>
                <w:t>ITU-T SG20 Regional Group for Easter Europe, Central Asia and Transcaucasia (SG20RG-EECAT)</w:t>
              </w:r>
            </w:hyperlink>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8.2, 9.1, 9.4, 11.2, 11.3</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T.1-3</w:t>
            </w:r>
          </w:p>
        </w:tc>
        <w:tc>
          <w:tcPr>
            <w:tcW w:w="756" w:type="dxa"/>
          </w:tcPr>
          <w:p w:rsidR="00A11163" w:rsidRPr="004567E2" w:rsidRDefault="00A11163" w:rsidP="00A11163">
            <w:pPr>
              <w:pStyle w:val="Default"/>
              <w:numPr>
                <w:ilvl w:val="0"/>
                <w:numId w:val="16"/>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FG DFS</w:t>
            </w:r>
          </w:p>
        </w:tc>
        <w:tc>
          <w:tcPr>
            <w:tcW w:w="8278" w:type="dxa"/>
          </w:tcPr>
          <w:p w:rsidR="00A11163" w:rsidRPr="004567E2" w:rsidRDefault="00A11163" w:rsidP="00A11163">
            <w:pPr>
              <w:widowControl w:val="0"/>
              <w:rPr>
                <w:rFonts w:ascii="Times New Roman" w:hAnsi="Times New Roman" w:cs="Times New Roman"/>
                <w:sz w:val="24"/>
                <w:szCs w:val="24"/>
              </w:rPr>
            </w:pPr>
            <w:r w:rsidRPr="004567E2">
              <w:rPr>
                <w:rFonts w:ascii="Times New Roman" w:hAnsi="Times New Roman" w:cs="Times New Roman"/>
                <w:sz w:val="24"/>
                <w:szCs w:val="24"/>
              </w:rPr>
              <w:t>The work of ITU-T Focus Group on Digital Financial Inclusion for bridging the gap between telecommunication and financial services to serve the unbanked.</w:t>
            </w:r>
          </w:p>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sz w:val="24"/>
                <w:szCs w:val="24"/>
              </w:rPr>
              <w:t xml:space="preserve">For the past two years, the </w:t>
            </w:r>
            <w:hyperlink r:id="rId14" w:history="1">
              <w:r w:rsidRPr="004567E2">
                <w:rPr>
                  <w:rStyle w:val="Hyperlink"/>
                  <w:rFonts w:ascii="Times New Roman" w:hAnsi="Times New Roman" w:cs="Times New Roman"/>
                  <w:sz w:val="24"/>
                  <w:szCs w:val="24"/>
                </w:rPr>
                <w:t>ITU Focus Group Digital Financial Services</w:t>
              </w:r>
            </w:hyperlink>
            <w:r w:rsidRPr="004567E2">
              <w:rPr>
                <w:rFonts w:ascii="Times New Roman" w:hAnsi="Times New Roman" w:cs="Times New Roman"/>
                <w:sz w:val="24"/>
                <w:szCs w:val="24"/>
              </w:rPr>
              <w:t xml:space="preserve"> (FG DFS) has been looking at the key challenges facing the broader adoption of the DFS and mobile financial innovations that hold great promise to bring basic financial services to the estimated 2 billion adults still without access to a transaction account. The group took an ecosystem approach to DFS innovation, supported by a diverse set of experts representing the ICT and financial-services sectors, the public and private sector, standardization bodies and the research community.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8.2, </w:t>
            </w:r>
            <w:r w:rsidRPr="004567E2">
              <w:rPr>
                <w:rFonts w:ascii="Times New Roman" w:hAnsi="Times New Roman" w:cs="Times New Roman"/>
                <w:sz w:val="24"/>
                <w:szCs w:val="24"/>
              </w:rPr>
              <w:t>9.1, 17.6, 17.16, 17.17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T.1-3</w:t>
            </w:r>
          </w:p>
        </w:tc>
        <w:tc>
          <w:tcPr>
            <w:tcW w:w="756" w:type="dxa"/>
          </w:tcPr>
          <w:p w:rsidR="00A11163" w:rsidRPr="004567E2" w:rsidRDefault="00A11163" w:rsidP="00A11163">
            <w:pPr>
              <w:pStyle w:val="Default"/>
              <w:numPr>
                <w:ilvl w:val="0"/>
                <w:numId w:val="16"/>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FG DFC</w:t>
            </w:r>
          </w:p>
        </w:tc>
        <w:tc>
          <w:tcPr>
            <w:tcW w:w="8278" w:type="dxa"/>
          </w:tcPr>
          <w:p w:rsidR="00A11163" w:rsidRPr="004567E2" w:rsidRDefault="00A11163" w:rsidP="00A11163">
            <w:pPr>
              <w:keepNext/>
              <w:keepLines/>
              <w:rPr>
                <w:rFonts w:ascii="Times New Roman" w:eastAsia="Times New Roman" w:hAnsi="Times New Roman" w:cs="Times New Roman"/>
                <w:sz w:val="24"/>
                <w:szCs w:val="24"/>
              </w:rPr>
            </w:pPr>
            <w:r w:rsidRPr="004567E2">
              <w:rPr>
                <w:rFonts w:ascii="Times New Roman" w:hAnsi="Times New Roman" w:cs="Times New Roman"/>
                <w:color w:val="000000"/>
                <w:sz w:val="24"/>
                <w:szCs w:val="24"/>
              </w:rPr>
              <w:t xml:space="preserve">The work of the </w:t>
            </w:r>
            <w:r w:rsidRPr="004567E2">
              <w:rPr>
                <w:rFonts w:ascii="Times New Roman" w:eastAsia="Times New Roman" w:hAnsi="Times New Roman" w:cs="Times New Roman"/>
                <w:sz w:val="24"/>
                <w:szCs w:val="24"/>
              </w:rPr>
              <w:t xml:space="preserve">new </w:t>
            </w:r>
            <w:hyperlink r:id="rId15" w:history="1">
              <w:r w:rsidRPr="004567E2">
                <w:rPr>
                  <w:rStyle w:val="Hyperlink"/>
                  <w:rFonts w:ascii="Times New Roman" w:eastAsia="Times New Roman" w:hAnsi="Times New Roman" w:cs="Times New Roman"/>
                  <w:sz w:val="24"/>
                  <w:szCs w:val="24"/>
                </w:rPr>
                <w:t>ITU-T Focus Group on “Digital Currency including Digital Fiat Currency”</w:t>
              </w:r>
            </w:hyperlink>
            <w:r w:rsidRPr="004567E2">
              <w:rPr>
                <w:rFonts w:ascii="Times New Roman" w:eastAsia="Times New Roman" w:hAnsi="Times New Roman" w:cs="Times New Roman"/>
                <w:sz w:val="24"/>
                <w:szCs w:val="24"/>
              </w:rPr>
              <w:t xml:space="preserve"> which will carry out an investigation of the digital fiat currency platforms, focusing on the platform features and characteristics, security challenges to prevent counterfeiting of currencies in digital form and overcome challenges of interoperability with other payment systems. FG-DFC will incorporate expertise and specialist from Central Banks, ICT regulatory authorities, financial institutions, financial service providers, security professional, other standard bodies such as Global Platform and ISO, and academics to address the governance, ICT infrastructure support, and security aspects of Digital Fiat currency and its implication to further the fruit of Financial Inclusion effort currently achieve through ICT projects and solutions. The focus group will analyze ICT solutions and projects in the area of infrastructure services regarding how a secure and interoperable digital instrument and their applications can enhance current financial inclusion solutions and projects in the area of regulatory compliance, security, protocols and processes that ITU-T study groups can standardize, and best practices that could facilitate the implementation of such solutions on a global scale.</w:t>
            </w:r>
          </w:p>
          <w:p w:rsidR="00A11163" w:rsidRPr="004567E2" w:rsidRDefault="00A11163" w:rsidP="00A11163">
            <w:pPr>
              <w:rPr>
                <w:rFonts w:ascii="Times New Roman" w:hAnsi="Times New Roman" w:cs="Times New Roman"/>
                <w:bCs/>
                <w:color w:val="000000"/>
                <w:sz w:val="24"/>
                <w:szCs w:val="24"/>
              </w:rPr>
            </w:pPr>
            <w:r w:rsidRPr="004567E2">
              <w:rPr>
                <w:rFonts w:ascii="Times New Roman" w:eastAsia="Times New Roman" w:hAnsi="Times New Roman" w:cs="Times New Roman"/>
                <w:sz w:val="24"/>
                <w:szCs w:val="24"/>
              </w:rPr>
              <w:t>This Focus Group will work primarily on Digital Fiat Currency and does not exclusively work or endorse on a single particular solution.</w:t>
            </w:r>
            <w:r w:rsidRPr="004567E2">
              <w:rPr>
                <w:rFonts w:ascii="Times New Roman" w:eastAsia="Times New Roman" w:hAnsi="Times New Roman" w:cs="Times New Roman"/>
                <w:sz w:val="24"/>
                <w:szCs w:val="24"/>
              </w:rPr>
              <w:br/>
              <w:t>The Focus Group will study the network functionality necessary to support digital fiat currency including network security and protocol requirements as well as interoperability of digital fiat currency with other digital currencies.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C5,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8.2, 9.1, 17.6, 17.16, 17.17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T.1-3</w:t>
            </w:r>
          </w:p>
        </w:tc>
        <w:tc>
          <w:tcPr>
            <w:tcW w:w="756" w:type="dxa"/>
          </w:tcPr>
          <w:p w:rsidR="00A11163" w:rsidRPr="004567E2" w:rsidRDefault="00A11163" w:rsidP="00A11163">
            <w:pPr>
              <w:pStyle w:val="Default"/>
              <w:numPr>
                <w:ilvl w:val="0"/>
                <w:numId w:val="16"/>
              </w:numPr>
              <w:rPr>
                <w:rFonts w:ascii="Times New Roman" w:hAnsi="Times New Roman" w:cs="Times New Roman"/>
                <w:bCs/>
              </w:rPr>
            </w:pPr>
          </w:p>
        </w:tc>
        <w:tc>
          <w:tcPr>
            <w:tcW w:w="2403" w:type="dxa"/>
          </w:tcPr>
          <w:p w:rsidR="00A11163" w:rsidRPr="007835EF" w:rsidRDefault="00A11163" w:rsidP="00A11163">
            <w:pPr>
              <w:rPr>
                <w:rFonts w:ascii="Times New Roman" w:hAnsi="Times New Roman" w:cs="Times New Roman"/>
                <w:bCs/>
                <w:color w:val="000000"/>
                <w:sz w:val="24"/>
                <w:szCs w:val="24"/>
                <w:lang w:val="fr-CH"/>
              </w:rPr>
            </w:pPr>
            <w:r w:rsidRPr="007835EF">
              <w:rPr>
                <w:rFonts w:ascii="Times New Roman" w:hAnsi="Times New Roman" w:cs="Times New Roman"/>
                <w:bCs/>
                <w:color w:val="000000"/>
                <w:sz w:val="24"/>
                <w:szCs w:val="24"/>
                <w:lang w:val="fr-CH"/>
              </w:rPr>
              <w:t>ITU-T FG DFS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16" w:history="1">
              <w:r w:rsidR="00A11163" w:rsidRPr="004567E2">
                <w:rPr>
                  <w:rStyle w:val="Hyperlink"/>
                  <w:rFonts w:ascii="Times New Roman" w:hAnsi="Times New Roman" w:cs="Times New Roman"/>
                  <w:sz w:val="24"/>
                  <w:szCs w:val="24"/>
                </w:rPr>
                <w:t>ITU Focus Group Digital Financial Services</w:t>
              </w:r>
            </w:hyperlink>
            <w:r w:rsidR="00A11163" w:rsidRPr="004567E2">
              <w:rPr>
                <w:rFonts w:ascii="Times New Roman" w:hAnsi="Times New Roman" w:cs="Times New Roman"/>
                <w:sz w:val="24"/>
                <w:szCs w:val="24"/>
              </w:rPr>
              <w:t xml:space="preserve"> (FG DFS) has delivered 28 </w:t>
            </w:r>
            <w:hyperlink r:id="rId17" w:history="1">
              <w:r w:rsidR="00A11163" w:rsidRPr="004567E2">
                <w:rPr>
                  <w:rStyle w:val="Hyperlink"/>
                  <w:rFonts w:ascii="Times New Roman" w:hAnsi="Times New Roman" w:cs="Times New Roman"/>
                  <w:sz w:val="24"/>
                  <w:szCs w:val="24"/>
                </w:rPr>
                <w:t>thematic reports</w:t>
              </w:r>
            </w:hyperlink>
            <w:r w:rsidR="00A11163" w:rsidRPr="004567E2">
              <w:rPr>
                <w:rFonts w:ascii="Times New Roman" w:hAnsi="Times New Roman" w:cs="Times New Roman"/>
                <w:sz w:val="24"/>
                <w:szCs w:val="24"/>
              </w:rPr>
              <w:t xml:space="preserve"> in the areas of DFS Ecosystem, Interoperability, Consumer Protection and Technology, Innovation and Competition. The reports support some 85 policy recommendations establishing guiding principles to assist the pursuit of digital financial inclusion at the national and global level.</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C2, C4, C3, C5,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8.2, 8.10, 9.1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T.1-3</w:t>
            </w:r>
          </w:p>
        </w:tc>
        <w:tc>
          <w:tcPr>
            <w:tcW w:w="756" w:type="dxa"/>
          </w:tcPr>
          <w:p w:rsidR="00A11163" w:rsidRPr="004567E2" w:rsidRDefault="00A11163" w:rsidP="00A11163">
            <w:pPr>
              <w:pStyle w:val="Default"/>
              <w:numPr>
                <w:ilvl w:val="0"/>
                <w:numId w:val="16"/>
              </w:numPr>
              <w:rPr>
                <w:rFonts w:ascii="Times New Roman" w:hAnsi="Times New Roman" w:cs="Times New Roman"/>
                <w:bCs/>
              </w:rPr>
            </w:pPr>
          </w:p>
        </w:tc>
        <w:tc>
          <w:tcPr>
            <w:tcW w:w="2403" w:type="dxa"/>
          </w:tcPr>
          <w:p w:rsidR="00A11163" w:rsidRPr="007835EF" w:rsidRDefault="00A11163" w:rsidP="00A11163">
            <w:pPr>
              <w:rPr>
                <w:rFonts w:ascii="Times New Roman" w:hAnsi="Times New Roman" w:cs="Times New Roman"/>
                <w:bCs/>
                <w:color w:val="000000"/>
                <w:sz w:val="24"/>
                <w:szCs w:val="24"/>
                <w:lang w:val="fr-CH"/>
              </w:rPr>
            </w:pPr>
            <w:r w:rsidRPr="007835EF">
              <w:rPr>
                <w:rFonts w:ascii="Times New Roman" w:hAnsi="Times New Roman" w:cs="Times New Roman"/>
                <w:bCs/>
                <w:color w:val="000000"/>
                <w:sz w:val="24"/>
                <w:szCs w:val="24"/>
                <w:lang w:val="fr-CH"/>
              </w:rPr>
              <w:t>ITU-T FG DFS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18" w:history="1">
              <w:r w:rsidR="00A11163" w:rsidRPr="004567E2">
                <w:rPr>
                  <w:rStyle w:val="Hyperlink"/>
                  <w:rFonts w:ascii="Times New Roman" w:eastAsia="SimSun" w:hAnsi="Times New Roman" w:cs="Times New Roman"/>
                  <w:sz w:val="24"/>
                  <w:szCs w:val="24"/>
                </w:rPr>
                <w:t>FG-DFS Report “Identity and Authentication</w:t>
              </w:r>
            </w:hyperlink>
            <w:r w:rsidR="00A11163" w:rsidRPr="004567E2">
              <w:rPr>
                <w:rFonts w:ascii="Times New Roman" w:eastAsia="SimSun" w:hAnsi="Times New Roman" w:cs="Times New Roman"/>
                <w:sz w:val="24"/>
                <w:szCs w:val="24"/>
              </w:rPr>
              <w:t xml:space="preserve">” </w:t>
            </w:r>
            <w:r w:rsidR="00A11163" w:rsidRPr="004567E2">
              <w:rPr>
                <w:rFonts w:ascii="Times New Roman" w:hAnsi="Times New Roman" w:cs="Times New Roman"/>
                <w:sz w:val="24"/>
                <w:szCs w:val="24"/>
              </w:rPr>
              <w:t>presents</w:t>
            </w:r>
            <w:r w:rsidR="00A11163" w:rsidRPr="004567E2">
              <w:rPr>
                <w:rFonts w:ascii="Times New Roman" w:eastAsia="Times New Roman" w:hAnsi="Times New Roman" w:cs="Times New Roman"/>
                <w:sz w:val="24"/>
                <w:szCs w:val="24"/>
              </w:rPr>
              <w:t xml:space="preserve"> an overview of the current and projected state of digital identity and authentication, as it applies to the DFS sector. It is intended to be read in the context of Recommendations ITU-T X.1252, </w:t>
            </w:r>
            <w:r w:rsidR="00A11163" w:rsidRPr="004567E2">
              <w:rPr>
                <w:rFonts w:ascii="Times New Roman" w:eastAsia="Times New Roman" w:hAnsi="Times New Roman" w:cs="Times New Roman"/>
                <w:sz w:val="24"/>
                <w:szCs w:val="24"/>
              </w:rPr>
              <w:lastRenderedPageBreak/>
              <w:t>ITU-T X.1253, and ITU-T X.1254, which address the wider issues around the management of identity in data networks.</w:t>
            </w:r>
            <w:r w:rsidR="00A11163" w:rsidRPr="004567E2">
              <w:rPr>
                <w:rFonts w:ascii="Times New Roman" w:eastAsia="Times New Roman" w:hAnsi="Times New Roman" w:cs="Times New Roman"/>
                <w:sz w:val="24"/>
                <w:szCs w:val="24"/>
              </w:rPr>
              <w:br/>
              <w:t>The broader context is the adoption by world leaders on 25</w:t>
            </w:r>
            <w:r w:rsidR="00A11163" w:rsidRPr="004567E2">
              <w:rPr>
                <w:rFonts w:ascii="Times New Roman" w:eastAsia="Times New Roman" w:hAnsi="Times New Roman" w:cs="Times New Roman"/>
                <w:sz w:val="24"/>
                <w:szCs w:val="24"/>
                <w:vertAlign w:val="superscript"/>
              </w:rPr>
              <w:t>th</w:t>
            </w:r>
            <w:r w:rsidR="00A11163" w:rsidRPr="004567E2">
              <w:rPr>
                <w:rFonts w:ascii="Times New Roman" w:eastAsia="Times New Roman" w:hAnsi="Times New Roman" w:cs="Times New Roman"/>
                <w:sz w:val="24"/>
                <w:szCs w:val="24"/>
              </w:rPr>
              <w:t xml:space="preserve"> September 2015 of the UN’s 17 sustainable development goals (SDGs) of the 2030 “Agenda for Sustainable Development”, of which Clause 16 states: “Promote just, peaceful and inclusive societies”, which is further amplified with the clause: “By 2030, provide legal identity for all, including birth registration”.</w:t>
            </w:r>
            <w:r w:rsidR="00A11163" w:rsidRPr="004567E2">
              <w:rPr>
                <w:rFonts w:ascii="Times New Roman" w:eastAsia="Times New Roman" w:hAnsi="Times New Roman" w:cs="Times New Roman"/>
                <w:sz w:val="24"/>
                <w:szCs w:val="24"/>
              </w:rPr>
              <w:br/>
              <w:t>In the light of broader moves around the world to electronic/digital transactions, particularly in the DFS sector, it is inevitable that the best method of achieving this is through the creation and use of digital identities, through a variety of means. For this reason, the paper briefly explores the relationship between legal and digital identities.</w:t>
            </w:r>
            <w:r w:rsidR="00A11163" w:rsidRPr="004567E2">
              <w:rPr>
                <w:rFonts w:ascii="Times New Roman" w:eastAsia="Times New Roman" w:hAnsi="Times New Roman" w:cs="Times New Roman"/>
                <w:sz w:val="24"/>
                <w:szCs w:val="24"/>
              </w:rPr>
              <w:br/>
              <w:t>The nature of digital identities is explored in this report, as well as a core definition of their usage presented, based on three phases.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 xml:space="preserve">C2, C3, </w:t>
            </w:r>
            <w:r w:rsidRPr="004567E2">
              <w:rPr>
                <w:rFonts w:ascii="Times New Roman" w:hAnsi="Times New Roman" w:cs="Times New Roman"/>
                <w:bCs/>
                <w:color w:val="000000"/>
                <w:sz w:val="24"/>
                <w:szCs w:val="24"/>
              </w:rPr>
              <w:lastRenderedPageBreak/>
              <w:t>C4,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8.10, 9.1, 16.9</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T.1-3</w:t>
            </w:r>
          </w:p>
        </w:tc>
        <w:tc>
          <w:tcPr>
            <w:tcW w:w="756" w:type="dxa"/>
          </w:tcPr>
          <w:p w:rsidR="00A11163" w:rsidRPr="004567E2" w:rsidRDefault="00A11163" w:rsidP="00A11163">
            <w:pPr>
              <w:pStyle w:val="Default"/>
              <w:numPr>
                <w:ilvl w:val="0"/>
                <w:numId w:val="16"/>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FG DLT</w:t>
            </w:r>
          </w:p>
        </w:tc>
        <w:tc>
          <w:tcPr>
            <w:tcW w:w="8278"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sz w:val="24"/>
                <w:szCs w:val="24"/>
              </w:rPr>
              <w:t>New ITU-T Focus Group on “Application of Distributed Ledger Technology (FG DLT)” will be an open platform for relevant stakeholders – such as telecom regulators, financial regulators, services providers, platform providers, network operators; international organizations and industry forums and consortia – to share knowledge, best practices and lessons learned in the field with the objective of identifying the standardized frameworks needed to support the scaling up of applications and services based on DLT globally. The FG DLT could address a number of topics of DLT, for example, use-cases and applications, requirements for the implementation, regulatory and policy aspects, security and privacy aspects, among many other aspects.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9.1, 17.6, </w:t>
            </w:r>
            <w:r w:rsidRPr="004567E2">
              <w:rPr>
                <w:rFonts w:ascii="Times New Roman" w:hAnsi="Times New Roman" w:cs="Times New Roman"/>
                <w:sz w:val="24"/>
                <w:szCs w:val="24"/>
              </w:rPr>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T.1-3</w:t>
            </w:r>
          </w:p>
        </w:tc>
        <w:tc>
          <w:tcPr>
            <w:tcW w:w="756" w:type="dxa"/>
          </w:tcPr>
          <w:p w:rsidR="00A11163" w:rsidRPr="004567E2" w:rsidRDefault="00A11163" w:rsidP="00A11163">
            <w:pPr>
              <w:pStyle w:val="Default"/>
              <w:numPr>
                <w:ilvl w:val="0"/>
                <w:numId w:val="16"/>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JCA-AHF</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sz w:val="24"/>
                <w:szCs w:val="24"/>
              </w:rPr>
            </w:pPr>
            <w:hyperlink r:id="rId19" w:history="1">
              <w:r w:rsidR="00A11163" w:rsidRPr="004567E2">
                <w:rPr>
                  <w:rStyle w:val="Hyperlink"/>
                  <w:rFonts w:ascii="Times New Roman" w:hAnsi="Times New Roman" w:cs="Times New Roman"/>
                  <w:sz w:val="24"/>
                  <w:szCs w:val="24"/>
                </w:rPr>
                <w:t>Joint Coordination Activity on Accessibility and Human factors</w:t>
              </w:r>
            </w:hyperlink>
            <w:r w:rsidR="00A11163" w:rsidRPr="004567E2">
              <w:rPr>
                <w:rFonts w:ascii="Times New Roman" w:hAnsi="Times New Roman" w:cs="Times New Roman"/>
                <w:sz w:val="24"/>
                <w:szCs w:val="24"/>
              </w:rPr>
              <w:t xml:space="preserve"> (JCA-AHF) </w:t>
            </w:r>
            <w:r w:rsidR="00A11163" w:rsidRPr="004567E2">
              <w:rPr>
                <w:rFonts w:ascii="Times New Roman" w:eastAsia="MS Mincho" w:hAnsi="Times New Roman" w:cs="Times New Roman"/>
                <w:sz w:val="24"/>
                <w:szCs w:val="24"/>
              </w:rPr>
              <w:t xml:space="preserve">coordinates activities related to accessibility and human factors in order to avoid duplication of work, and to ensure that the needs of persons with disabilities and persons with specific needs are taken into account, </w:t>
            </w:r>
            <w:r w:rsidR="00A11163" w:rsidRPr="004567E2">
              <w:rPr>
                <w:rFonts w:ascii="Times New Roman" w:hAnsi="Times New Roman" w:cs="Times New Roman"/>
                <w:sz w:val="24"/>
                <w:szCs w:val="24"/>
              </w:rPr>
              <w:t xml:space="preserve">in accordance with </w:t>
            </w:r>
            <w:hyperlink r:id="rId20" w:history="1">
              <w:r w:rsidR="00A11163" w:rsidRPr="004567E2">
                <w:rPr>
                  <w:rStyle w:val="Hyperlink"/>
                  <w:rFonts w:ascii="Times New Roman" w:hAnsi="Times New Roman" w:cs="Times New Roman"/>
                  <w:sz w:val="24"/>
                  <w:szCs w:val="24"/>
                </w:rPr>
                <w:t>PP Resolution 175 (Rev. Busan, 2014)</w:t>
              </w:r>
            </w:hyperlink>
            <w:r w:rsidR="00A11163" w:rsidRPr="004567E2">
              <w:rPr>
                <w:rFonts w:ascii="Times New Roman" w:hAnsi="Times New Roman" w:cs="Times New Roman"/>
                <w:sz w:val="24"/>
                <w:szCs w:val="24"/>
              </w:rPr>
              <w:t xml:space="preserve"> of ITU Plenipotentiary Conference and </w:t>
            </w:r>
            <w:hyperlink r:id="rId21" w:history="1">
              <w:r w:rsidR="00A11163" w:rsidRPr="004567E2">
                <w:rPr>
                  <w:rStyle w:val="Hyperlink"/>
                  <w:rFonts w:ascii="Times New Roman" w:hAnsi="Times New Roman" w:cs="Times New Roman"/>
                  <w:sz w:val="24"/>
                  <w:szCs w:val="24"/>
                </w:rPr>
                <w:t>Resolution 70</w:t>
              </w:r>
              <w:r w:rsidR="00A11163" w:rsidRPr="004567E2">
                <w:rPr>
                  <w:rStyle w:val="Hyperlink"/>
                  <w:rFonts w:ascii="Times New Roman" w:eastAsia="MS Mincho" w:hAnsi="Times New Roman" w:cs="Times New Roman"/>
                  <w:sz w:val="24"/>
                  <w:szCs w:val="24"/>
                </w:rPr>
                <w:t xml:space="preserve"> (Rev. Hammamet, 2016)</w:t>
              </w:r>
            </w:hyperlink>
            <w:r w:rsidR="00A11163" w:rsidRPr="004567E2">
              <w:rPr>
                <w:rFonts w:ascii="Times New Roman" w:eastAsia="MS Mincho" w:hAnsi="Times New Roman" w:cs="Times New Roman"/>
                <w:sz w:val="24"/>
                <w:szCs w:val="24"/>
              </w:rPr>
              <w:t xml:space="preserve"> of World Telecommunication Standardization Assembly </w:t>
            </w:r>
            <w:r w:rsidR="00A11163" w:rsidRPr="004567E2">
              <w:rPr>
                <w:rFonts w:ascii="Times New Roman" w:hAnsi="Times New Roman" w:cs="Times New Roman"/>
                <w:sz w:val="24"/>
                <w:szCs w:val="24"/>
              </w:rPr>
              <w:t>(</w:t>
            </w:r>
            <w:r w:rsidR="00A11163" w:rsidRPr="004567E2">
              <w:rPr>
                <w:rFonts w:ascii="Times New Roman" w:eastAsia="MS Mincho" w:hAnsi="Times New Roman" w:cs="Times New Roman"/>
                <w:sz w:val="24"/>
                <w:szCs w:val="24"/>
              </w:rPr>
              <w:t xml:space="preserve">WTSA). </w:t>
            </w:r>
            <w:r w:rsidR="00A11163" w:rsidRPr="004567E2">
              <w:rPr>
                <w:rFonts w:ascii="Times New Roman" w:hAnsi="Times New Roman" w:cs="Times New Roman"/>
                <w:sz w:val="24"/>
                <w:szCs w:val="24"/>
              </w:rPr>
              <w:t>JCA-AHF work aims to increase awareness and help standard writers to mainstream accessibility features in telecommunication/ICT accessibility standards for the inclusion of persons with disabilities and persons with specific needs, including age-related disabilities, those with illiteracy, women, children, and indigenous people; and to assist study groups in the identification of standardization opportunities and solutions that improve the accessibility and human factors aspects of their work.</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C4, C10,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9.1, 10.2,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b/>
                <w:bCs/>
                <w:color w:val="000000"/>
                <w:sz w:val="24"/>
                <w:szCs w:val="24"/>
              </w:rPr>
            </w:pPr>
            <w:hyperlink r:id="rId22" w:history="1">
              <w:r w:rsidR="00A11163" w:rsidRPr="004567E2">
                <w:rPr>
                  <w:rStyle w:val="Hyperlink"/>
                  <w:rFonts w:ascii="Times New Roman" w:hAnsi="Times New Roman" w:cs="Times New Roman"/>
                  <w:bCs/>
                  <w:sz w:val="24"/>
                  <w:szCs w:val="24"/>
                </w:rPr>
                <w:t>Recommendation ITU-T L.1002 "External universal power adapter solutions for portable ICT devices"</w:t>
              </w:r>
            </w:hyperlink>
            <w:r w:rsidR="00A11163" w:rsidRPr="004567E2">
              <w:rPr>
                <w:rFonts w:ascii="Times New Roman" w:hAnsi="Times New Roman" w:cs="Times New Roman"/>
                <w:b/>
                <w:sz w:val="24"/>
                <w:szCs w:val="24"/>
              </w:rPr>
              <w:t xml:space="preserve"> </w:t>
            </w:r>
            <w:r w:rsidR="00A11163" w:rsidRPr="004567E2">
              <w:rPr>
                <w:rFonts w:ascii="Times New Roman" w:hAnsi="Times New Roman" w:cs="Times New Roman"/>
                <w:bCs/>
                <w:sz w:val="24"/>
                <w:szCs w:val="24"/>
              </w:rPr>
              <w:t>is for a universal charger for laptops and other portable devices. The new standard provides for improved energy efficiency and reduced greenhouse gas emissions and is expected to lead to significant reductions in e-waste.</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A11163" w:rsidP="00A11163">
            <w:pPr>
              <w:rPr>
                <w:rFonts w:ascii="Times New Roman" w:hAnsi="Times New Roman" w:cs="Times New Roman"/>
                <w:sz w:val="24"/>
                <w:szCs w:val="24"/>
              </w:rPr>
            </w:pPr>
            <w:r w:rsidRPr="004567E2">
              <w:rPr>
                <w:rStyle w:val="Hyperlink"/>
                <w:rFonts w:ascii="Times New Roman" w:hAnsi="Times New Roman" w:cs="Times New Roman"/>
                <w:bCs/>
                <w:sz w:val="24"/>
                <w:szCs w:val="24"/>
              </w:rPr>
              <w:t xml:space="preserve">Recommendation ITU-T L.1015 “Criteria for evaluation of the environmental impact of mobile phones” </w:t>
            </w:r>
            <w:r w:rsidRPr="004567E2">
              <w:rPr>
                <w:rFonts w:ascii="Times New Roman" w:hAnsi="Times New Roman" w:cs="Times New Roman"/>
                <w:sz w:val="24"/>
                <w:szCs w:val="24"/>
              </w:rPr>
              <w:t>(under approval) focuses on the criteria to be used for evaluation of the environmental impact of mobile phones. It considers all life cycle stages of mobile phones such as the design, production, use and end of life management. The Recommendation also defines a minimum level of environmental performance.</w:t>
            </w:r>
          </w:p>
          <w:p w:rsidR="00A11163" w:rsidRPr="004567E2" w:rsidRDefault="00A11163" w:rsidP="00A11163">
            <w:pPr>
              <w:rPr>
                <w:rStyle w:val="Hyperlink"/>
                <w:rFonts w:ascii="Times New Roman" w:hAnsi="Times New Roman" w:cs="Times New Roman"/>
                <w:bCs/>
                <w:sz w:val="24"/>
                <w:szCs w:val="24"/>
              </w:rPr>
            </w:pPr>
            <w:r w:rsidRPr="004567E2">
              <w:rPr>
                <w:rFonts w:ascii="Times New Roman" w:hAnsi="Times New Roman" w:cs="Times New Roman"/>
                <w:sz w:val="24"/>
                <w:szCs w:val="24"/>
              </w:rPr>
              <w:t>Within the constraints of technology and affordability, sustainability should be considered for: materials; energy use; durability, upgrade and repair operations; end of life management; packaging, corporate practice; manufacturing and operations.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 11.6, 12.4, 12.5</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bCs/>
                <w:sz w:val="24"/>
                <w:szCs w:val="24"/>
              </w:rPr>
            </w:pPr>
            <w:hyperlink r:id="rId23" w:history="1">
              <w:r w:rsidR="00A11163" w:rsidRPr="004567E2">
                <w:rPr>
                  <w:rStyle w:val="Hyperlink"/>
                  <w:rFonts w:ascii="Times New Roman" w:hAnsi="Times New Roman" w:cs="Times New Roman"/>
                  <w:bCs/>
                  <w:sz w:val="24"/>
                  <w:szCs w:val="24"/>
                </w:rPr>
                <w:t>Recommendation ITU-T L.1020 “Circular Economy: Guide for Operators and Suppliers on approaches to migrate towards circular ICT goods and networks”</w:t>
              </w:r>
            </w:hyperlink>
            <w:r w:rsidR="00A11163" w:rsidRPr="004567E2">
              <w:rPr>
                <w:rFonts w:ascii="Times New Roman" w:hAnsi="Times New Roman" w:cs="Times New Roman"/>
                <w:bCs/>
                <w:sz w:val="24"/>
                <w:szCs w:val="24"/>
              </w:rPr>
              <w:t xml:space="preserve"> suggests approaches of circular economy (CE) for information and communication technology (ICT) goods and networks. It focuses particularly on the next steps in improving circularity in the operators′ supply chain. The Recommendation provides a guide on how operators could work with their supply chain to improve CE aspects for ICT goods and networks but it does not provide metrics. The </w:t>
            </w:r>
            <w:r w:rsidR="00A11163" w:rsidRPr="004567E2">
              <w:rPr>
                <w:rFonts w:ascii="Times New Roman" w:hAnsi="Times New Roman" w:cs="Times New Roman"/>
                <w:bCs/>
                <w:sz w:val="24"/>
                <w:szCs w:val="24"/>
              </w:rPr>
              <w:lastRenderedPageBreak/>
              <w:t>objective of the guide is to provide options to improve circularity and to enable operators and their suppliers to create business models for the promotion of circular networks for an optimum solution that uses all the loops of circularity - from sharing to recycling.</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 11.6, 12.4, 12.5</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bCs/>
                <w:sz w:val="24"/>
                <w:szCs w:val="24"/>
              </w:rPr>
            </w:pPr>
            <w:hyperlink r:id="rId24" w:history="1">
              <w:r w:rsidR="00A11163" w:rsidRPr="004567E2">
                <w:rPr>
                  <w:rStyle w:val="Hyperlink"/>
                  <w:rFonts w:ascii="Times New Roman" w:hAnsi="Times New Roman" w:cs="Times New Roman"/>
                  <w:bCs/>
                  <w:sz w:val="24"/>
                  <w:szCs w:val="24"/>
                </w:rPr>
                <w:t>Recommendation ITU-T L.1021 “Extended producer responsibility - Guidelines for sustainable e-waste management”</w:t>
              </w:r>
            </w:hyperlink>
            <w:r w:rsidR="00A11163" w:rsidRPr="004567E2">
              <w:rPr>
                <w:rFonts w:ascii="Times New Roman" w:hAnsi="Times New Roman" w:cs="Times New Roman"/>
                <w:bCs/>
                <w:sz w:val="24"/>
                <w:szCs w:val="24"/>
              </w:rPr>
              <w:t xml:space="preserve"> offers a description of the extended producer responsibility (EPR) system in dealing with e-waste. It expands on the different existing forms of EPR globally, not only in theoretical terms, but also with a practical view on their feasibility, challenges and pre-requisites. It presents the definition of the EPR system, in addition to the roles and responsibilities of the different stakeholders, the different types of EPR as well as how and why they could be used in certain contexts and not in others. The funding mechanism behind every mode and the organizational structure expected to be in place are also presented. The Recommendation concludes with many best practices from the international arena including developed, developing and emerging economies, as well as the challenges faced in some cases.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 11.6, 12.4, 12.5</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pStyle w:val="NormalWeb"/>
              <w:spacing w:before="0" w:beforeAutospacing="0" w:after="0" w:afterAutospacing="0"/>
              <w:rPr>
                <w:bCs/>
                <w:lang w:val="en-GB"/>
              </w:rPr>
            </w:pPr>
            <w:hyperlink r:id="rId25" w:history="1">
              <w:r w:rsidR="00A11163" w:rsidRPr="004567E2">
                <w:rPr>
                  <w:rStyle w:val="Hyperlink"/>
                  <w:bCs/>
                  <w:lang w:val="en-GB"/>
                </w:rPr>
                <w:t>Recommendation ITU-T L.1030 “E-waste management framework for countries”</w:t>
              </w:r>
            </w:hyperlink>
            <w:r w:rsidR="00A11163" w:rsidRPr="004567E2">
              <w:rPr>
                <w:bCs/>
                <w:lang w:val="en-GB"/>
              </w:rPr>
              <w:t xml:space="preserve"> provides a management framework for e-waste to countries. It summarizes the different steps that countries need to adopt in order to put in place an e-waste management system. The different steps of the e-waste management system described in this Recommendation will be further elaborated in future Recommendations. In addition, the Recommendation provides highlights concerning the environmental impact of improper handling of e-waste as well as the economic opportunities that could emerge from the sustainable management of e-waste.</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 11.6, 12.4, 12.5</w:t>
            </w:r>
          </w:p>
        </w:tc>
      </w:tr>
      <w:tr w:rsidR="00A11163" w:rsidRPr="004567E2" w:rsidTr="00A11163">
        <w:tc>
          <w:tcPr>
            <w:tcW w:w="760"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pStyle w:val="NormalWeb"/>
              <w:spacing w:before="40" w:beforeAutospacing="0" w:after="0" w:afterAutospacing="0"/>
            </w:pPr>
            <w:hyperlink r:id="rId26" w:history="1">
              <w:r w:rsidR="00A11163" w:rsidRPr="004567E2">
                <w:rPr>
                  <w:rStyle w:val="Hyperlink"/>
                  <w:bCs/>
                  <w:lang w:val="en-GB"/>
                </w:rPr>
                <w:t>Recommendation ITU-T L.1031 “Guideline on Implementing the E-waste Reduction Target of the Connect2020 Agenda”</w:t>
              </w:r>
            </w:hyperlink>
            <w:r w:rsidR="00A11163" w:rsidRPr="004567E2">
              <w:rPr>
                <w:rStyle w:val="Hyperlink"/>
                <w:bCs/>
                <w:lang w:val="en-GB"/>
              </w:rPr>
              <w:t xml:space="preserve"> </w:t>
            </w:r>
            <w:r w:rsidR="00A11163" w:rsidRPr="004567E2">
              <w:t>describes a three-step approach to address the e-waste reduction target of the Connect 2020 Agenda. These steps consist of guidance on developing an e-waste inventory, approaches to design e-</w:t>
            </w:r>
            <w:r w:rsidR="00A11163" w:rsidRPr="004567E2">
              <w:lastRenderedPageBreak/>
              <w:t xml:space="preserve">waste prevention and reduction programs, and the supportive measures required for successfully implementing the Connect 2020 e-waste target. </w:t>
            </w:r>
          </w:p>
          <w:p w:rsidR="00A11163" w:rsidRPr="004567E2" w:rsidRDefault="00A11163" w:rsidP="00A11163">
            <w:pPr>
              <w:pStyle w:val="NormalWeb"/>
              <w:spacing w:before="0" w:beforeAutospacing="0" w:after="0" w:afterAutospacing="0"/>
              <w:rPr>
                <w:rStyle w:val="Hyperlink"/>
                <w:bCs/>
                <w:lang w:val="en-GB"/>
              </w:rPr>
            </w:pPr>
            <w:r w:rsidRPr="004567E2">
              <w:t>This Recommendation is intended to be utilized by relevant stakeholders to take their first step in addressing Target 3.2 of the Connect 2020 Agenda, that is to reduce waste by 50% by 2020.</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 xml:space="preserve">7.a, 9.1, 11.6, </w:t>
            </w:r>
            <w:r w:rsidRPr="004567E2">
              <w:rPr>
                <w:rFonts w:ascii="Times New Roman" w:hAnsi="Times New Roman" w:cs="Times New Roman"/>
                <w:bCs/>
              </w:rPr>
              <w:lastRenderedPageBreak/>
              <w:t>12.4, 12.5</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lastRenderedPageBreak/>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pStyle w:val="NormalWeb"/>
              <w:spacing w:before="0" w:beforeAutospacing="0" w:after="0" w:afterAutospacing="0"/>
              <w:rPr>
                <w:bCs/>
                <w:lang w:val="en-GB"/>
              </w:rPr>
            </w:pPr>
            <w:hyperlink r:id="rId27" w:history="1">
              <w:r w:rsidR="00A11163" w:rsidRPr="004567E2">
                <w:rPr>
                  <w:rStyle w:val="Hyperlink"/>
                  <w:bCs/>
                </w:rPr>
                <w:t xml:space="preserve">Recommendation ITU-T </w:t>
              </w:r>
              <w:r w:rsidR="00A11163" w:rsidRPr="004567E2">
                <w:rPr>
                  <w:rStyle w:val="Hyperlink"/>
                  <w:bCs/>
                  <w:lang w:val="en-GB"/>
                </w:rPr>
                <w:t>L.1205 “Interfacing of renewable energy or distributed power sources to up to 400 VDC power feeding systems”</w:t>
              </w:r>
            </w:hyperlink>
            <w:r w:rsidR="00A11163" w:rsidRPr="004567E2">
              <w:rPr>
                <w:rFonts w:eastAsia="MS Mincho"/>
                <w:bCs/>
                <w:lang w:val="en-GB"/>
              </w:rPr>
              <w:t xml:space="preserve"> </w:t>
            </w:r>
            <w:r w:rsidR="00A11163" w:rsidRPr="004567E2">
              <w:rPr>
                <w:bCs/>
                <w:lang w:val="en-GB"/>
              </w:rPr>
              <w:t>defines the coupling of local or remote renewable energy into an up to 400VDC power system without reducing DC performances defined in ITU-T L.1202 mainly for efficiency and reliability. The main advantages are saving of fossil fuel (as a source of primary energy consumption), reduction of GHG emission and increase of resilience.</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pStyle w:val="NormalWeb"/>
              <w:spacing w:before="0" w:beforeAutospacing="0" w:after="0" w:afterAutospacing="0"/>
              <w:rPr>
                <w:rStyle w:val="Hyperlink"/>
                <w:bCs/>
                <w:color w:val="auto"/>
                <w:u w:val="none"/>
                <w:lang w:val="en-GB"/>
              </w:rPr>
            </w:pPr>
            <w:hyperlink r:id="rId28" w:history="1">
              <w:r w:rsidR="00A11163" w:rsidRPr="004567E2">
                <w:rPr>
                  <w:rStyle w:val="Hyperlink"/>
                  <w:bCs/>
                  <w:lang w:val="en-GB"/>
                </w:rPr>
                <w:t>Recommendation ITU-T L.1206 “Impact on ICT equipment architecture of multiple AC, -48VDC or up to 400 VDC power inputs”</w:t>
              </w:r>
            </w:hyperlink>
            <w:r w:rsidR="00A11163" w:rsidRPr="004567E2">
              <w:rPr>
                <w:bCs/>
                <w:lang w:val="en-GB"/>
              </w:rPr>
              <w:t xml:space="preserve"> (under approval) discusses multiple power interfaces to ICT equipment operated by standardized -48V direct current, alternating current source and direct current source up to 400 V in line with the interfaces, operational voltage and characteristics detailed within ITU-T Recommendation and ETSI relevant standards. It also includes some details on the power architecture within the ICT equipment between the ICT power interface and the ICT end load.</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29" w:history="1">
              <w:r w:rsidR="00A11163" w:rsidRPr="004567E2">
                <w:rPr>
                  <w:rStyle w:val="Hyperlink"/>
                  <w:rFonts w:ascii="Times New Roman" w:hAnsi="Times New Roman" w:cs="Times New Roman"/>
                  <w:sz w:val="24"/>
                  <w:szCs w:val="24"/>
                </w:rPr>
                <w:t>Recommendation ITU-T L.1207 “Progressive migration of a telecommunication/information and communication technology site to 400 VDC sources and distribution”</w:t>
              </w:r>
            </w:hyperlink>
            <w:r w:rsidR="00A11163" w:rsidRPr="004567E2">
              <w:rPr>
                <w:rFonts w:ascii="Times New Roman" w:hAnsi="Times New Roman" w:cs="Times New Roman"/>
                <w:sz w:val="24"/>
                <w:szCs w:val="24"/>
              </w:rPr>
              <w:t xml:space="preserve"> gives explanation, requirements and guidance for boosting the spread of up to 400 V direct current (400 VDC) power systems and distribution to information and communication technology (ICT) equipment. It includes 400 VDC remote powering up to 400 VDC of distributed ICT equipment, the option of interconnection of local renewable energy sources and their connection to DC power nanogrids and other users, extending the resilience capability of the telecommunications network and ICT sites to grid failures and climate change.</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lastRenderedPageBreak/>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30" w:history="1">
              <w:r w:rsidR="00A11163" w:rsidRPr="004567E2">
                <w:rPr>
                  <w:rStyle w:val="Hyperlink"/>
                  <w:rFonts w:ascii="Times New Roman" w:hAnsi="Times New Roman" w:cs="Times New Roman"/>
                  <w:sz w:val="24"/>
                  <w:szCs w:val="24"/>
                </w:rPr>
                <w:t>Recommendation ITU-T L.1220 “Innovative energy storage technology for stationary use - Part 1: Overview of energy storage”</w:t>
              </w:r>
            </w:hyperlink>
            <w:r w:rsidR="00A11163" w:rsidRPr="004567E2">
              <w:rPr>
                <w:rFonts w:ascii="Times New Roman" w:hAnsi="Times New Roman" w:cs="Times New Roman"/>
                <w:sz w:val="24"/>
                <w:szCs w:val="24"/>
              </w:rPr>
              <w:t xml:space="preserve"> introduces an open series of documents for different families of technologies (batteries systems, super-capacitors systems, …) that will be enriched progressively when new technologies appear with a possible significant impact.</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Style w:val="Hyperlink"/>
                <w:rFonts w:ascii="Times New Roman" w:hAnsi="Times New Roman" w:cs="Times New Roman"/>
                <w:sz w:val="24"/>
                <w:szCs w:val="24"/>
              </w:rPr>
            </w:pPr>
            <w:hyperlink r:id="rId31" w:history="1">
              <w:r w:rsidR="00A11163" w:rsidRPr="004567E2">
                <w:rPr>
                  <w:rStyle w:val="Hyperlink"/>
                  <w:rFonts w:ascii="Times New Roman" w:hAnsi="Times New Roman" w:cs="Times New Roman"/>
                  <w:sz w:val="24"/>
                  <w:szCs w:val="24"/>
                </w:rPr>
                <w:t>Recommendation ITU-T L.1221 “Innovative energy storage technology for stationary use - Part 2: Battery”</w:t>
              </w:r>
            </w:hyperlink>
            <w:r w:rsidR="00A11163" w:rsidRPr="004567E2">
              <w:rPr>
                <w:rStyle w:val="Hyperlink"/>
                <w:rFonts w:ascii="Times New Roman" w:hAnsi="Times New Roman" w:cs="Times New Roman"/>
                <w:sz w:val="24"/>
                <w:szCs w:val="24"/>
              </w:rPr>
              <w:t xml:space="preserve"> is the subpart 2, battery of a series of Recommendations on innovative energy storage system for stationary power system of telecom/ICT equipment used in telecom networks, datacenters and CPE. This subpart introduces technologies and methods for evaluating, selecting and testing battery systems for defined applications.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32" w:history="1">
              <w:r w:rsidR="00A11163" w:rsidRPr="004567E2">
                <w:rPr>
                  <w:rStyle w:val="Hyperlink"/>
                  <w:rFonts w:ascii="Times New Roman" w:hAnsi="Times New Roman" w:cs="Times New Roman"/>
                  <w:sz w:val="24"/>
                  <w:szCs w:val="24"/>
                </w:rPr>
                <w:t>Recommendation ITU-T L.1222 “Innovative energy storage technology for stationary use - Part 3: Supercapacitor technology”</w:t>
              </w:r>
            </w:hyperlink>
            <w:r w:rsidR="00A11163" w:rsidRPr="004567E2">
              <w:rPr>
                <w:rFonts w:ascii="Times New Roman" w:hAnsi="Times New Roman" w:cs="Times New Roman"/>
                <w:sz w:val="24"/>
                <w:szCs w:val="24"/>
              </w:rPr>
              <w:t xml:space="preserve"> contains selection criteria for telecommunication application based on main performance parameters and the methods for proper use. In addition, some use cases and examples are given in an Appendix to help users.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33" w:tooltip="Best practices for green data centres" w:history="1">
              <w:r w:rsidR="00A11163" w:rsidRPr="004567E2">
                <w:rPr>
                  <w:rStyle w:val="Hyperlink"/>
                  <w:rFonts w:ascii="Times New Roman" w:hAnsi="Times New Roman" w:cs="Times New Roman"/>
                  <w:sz w:val="24"/>
                  <w:szCs w:val="24"/>
                </w:rPr>
                <w:t>Recommendation ITU-T L.1300: Best practices for green data centres</w:t>
              </w:r>
            </w:hyperlink>
            <w:r w:rsidR="00A11163" w:rsidRPr="004567E2">
              <w:rPr>
                <w:rFonts w:ascii="Times New Roman" w:hAnsi="Times New Roman" w:cs="Times New Roman"/>
                <w:sz w:val="24"/>
                <w:szCs w:val="24"/>
              </w:rPr>
              <w:t xml:space="preserve"> describes best practices aimed at reducing the negative impact of data centres on the climate. It is commonly recognized that data centres will have an ever-increasing impact on the environment in the future. The application of the best practices defined in this Recommendation can help owners and managers to build future data centres, or improve existing ones, to operate in an environmentally responsible manner. Such considerations will strongly contribute to a reduction in the impact of the information and communication technology (ICT) sector on climate change.</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34" w:tooltip="Minimum data set and communication interface requirements for data centre energy management" w:history="1">
              <w:r w:rsidR="00A11163" w:rsidRPr="004567E2">
                <w:rPr>
                  <w:rStyle w:val="Hyperlink"/>
                  <w:rFonts w:ascii="Times New Roman" w:hAnsi="Times New Roman" w:cs="Times New Roman"/>
                  <w:sz w:val="24"/>
                  <w:szCs w:val="24"/>
                </w:rPr>
                <w:t>Recommendation ITU-T L.1301: Minimum data set and communication interface requirements for data centre energy management</w:t>
              </w:r>
            </w:hyperlink>
            <w:r w:rsidR="00A11163" w:rsidRPr="004567E2">
              <w:rPr>
                <w:rFonts w:ascii="Times New Roman" w:hAnsi="Times New Roman" w:cs="Times New Roman"/>
                <w:sz w:val="24"/>
                <w:szCs w:val="24"/>
              </w:rPr>
              <w:t xml:space="preserve"> establishes a minimum data set necessary to manage data centres and telecommunication rooms in an environmentally responsible manner, and specifies the communication interface and defines the parameters to be communicated depending on the equipment used </w:t>
            </w:r>
            <w:r w:rsidR="00A11163" w:rsidRPr="004567E2">
              <w:rPr>
                <w:rFonts w:ascii="Times New Roman" w:hAnsi="Times New Roman" w:cs="Times New Roman"/>
                <w:sz w:val="24"/>
                <w:szCs w:val="24"/>
              </w:rPr>
              <w:lastRenderedPageBreak/>
              <w:t>in data centres, such as power systems (alternating current (AC)/direct current (DC) and uninterruptible power supply (UPS) and energy distribution), cooling systems and information and communication technology (ICT) equipment.</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5" w:tooltip="Assessment of energy efficiency on infrastructure in data centres and telecom centres" w:history="1">
              <w:r w:rsidR="00A11163" w:rsidRPr="004567E2">
                <w:rPr>
                  <w:rStyle w:val="Hyperlink"/>
                  <w:rFonts w:ascii="Times New Roman" w:hAnsi="Times New Roman" w:cs="Times New Roman"/>
                  <w:sz w:val="24"/>
                  <w:szCs w:val="24"/>
                </w:rPr>
                <w:t>Recommendation ITU-T L.1302: Assessment of energy efficiency on infrastructure in data centres and telecom centres</w:t>
              </w:r>
            </w:hyperlink>
            <w:r w:rsidR="00A11163" w:rsidRPr="004567E2">
              <w:rPr>
                <w:rFonts w:ascii="Times New Roman" w:hAnsi="Times New Roman" w:cs="Times New Roman"/>
                <w:sz w:val="24"/>
                <w:szCs w:val="24"/>
              </w:rPr>
              <w:t xml:space="preserve"> contains the energy efficiency assessment methodology for data centre and telecom centre, test equipment accuracy requirements, assessment period, assessment conditions and calculation methods.</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This recommendation aims at reducing the negative impact of data centre and telecom centre through providing the methodologies of energy efficiency assessment. It is commonly recognized that data centre and telecom centre will have an ever-increasing impact on the environment in the future. The application of the assessment methods defined in this Recommendation can help owners and managers to build future data centres/telecom centres, or improve existing ones, to operate in an environmentally responsible manner.</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Style w:val="Hyperlink"/>
                <w:rFonts w:ascii="Times New Roman" w:hAnsi="Times New Roman" w:cs="Times New Roman"/>
                <w:sz w:val="24"/>
                <w:szCs w:val="24"/>
              </w:rPr>
            </w:pPr>
            <w:hyperlink r:id="rId36" w:history="1">
              <w:r w:rsidR="00A11163" w:rsidRPr="004567E2">
                <w:rPr>
                  <w:rStyle w:val="Hyperlink"/>
                  <w:rFonts w:ascii="Times New Roman" w:hAnsi="Times New Roman" w:cs="Times New Roman"/>
                  <w:sz w:val="24"/>
                  <w:szCs w:val="24"/>
                </w:rPr>
                <w:t>Recommendation ITU-T L.1303 “Functional requirements and framework of green data centre energy-saving management system”</w:t>
              </w:r>
            </w:hyperlink>
            <w:r w:rsidR="00A11163" w:rsidRPr="004567E2">
              <w:rPr>
                <w:rStyle w:val="Hyperlink"/>
                <w:rFonts w:ascii="Times New Roman" w:hAnsi="Times New Roman" w:cs="Times New Roman"/>
                <w:sz w:val="24"/>
                <w:szCs w:val="24"/>
              </w:rPr>
              <w:t xml:space="preserve"> </w:t>
            </w:r>
            <w:r w:rsidR="00A11163" w:rsidRPr="004567E2">
              <w:rPr>
                <w:rStyle w:val="Hyperlink"/>
                <w:rFonts w:ascii="Times New Roman" w:hAnsi="Times New Roman" w:cs="Times New Roman"/>
                <w:color w:val="auto"/>
                <w:sz w:val="24"/>
                <w:szCs w:val="24"/>
                <w:u w:val="none"/>
              </w:rPr>
              <w:t>describes functional requirements and framework of energy-saving management system for green data centre. Functional requirements of energy-saving management includes requirements for measuring energy consumption and environmental condition, collecting and storing data, reporting data, and conducting energy-saving. The energy-saving management system consists of following functional blocks: data collecting block; data storing block; data process and analysis block; external system interfacing block; user interface block; control block. Operational flow the energy-saving management system is also provided.</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37" w:tooltip="Energy efficiency metrics and measurement methods for telecommunication equipment" w:history="1">
              <w:r w:rsidR="00A11163" w:rsidRPr="004567E2">
                <w:rPr>
                  <w:rStyle w:val="Hyperlink"/>
                  <w:rFonts w:ascii="Times New Roman" w:hAnsi="Times New Roman" w:cs="Times New Roman"/>
                  <w:sz w:val="24"/>
                  <w:szCs w:val="24"/>
                </w:rPr>
                <w:t>Recommendation ITU-T L.1310 “Energy efficiency metrics and measurement methods for telecommunication equipment</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contains the definition of energy efficiency metrics test procedures, methodologies and measurement profiles required to assess the energy efficiency of telecommunication equipment. Energy efficiency metrics and measurement methods are defined for telecommunication </w:t>
            </w:r>
            <w:r w:rsidR="00A11163" w:rsidRPr="004567E2">
              <w:rPr>
                <w:rFonts w:ascii="Times New Roman" w:hAnsi="Times New Roman" w:cs="Times New Roman"/>
                <w:sz w:val="24"/>
                <w:szCs w:val="24"/>
              </w:rPr>
              <w:lastRenderedPageBreak/>
              <w:t>network equipment and small networking equipment.</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38" w:history="1">
              <w:r w:rsidR="00A11163" w:rsidRPr="004567E2">
                <w:rPr>
                  <w:rStyle w:val="Hyperlink"/>
                  <w:rFonts w:ascii="Times New Roman" w:hAnsi="Times New Roman" w:cs="Times New Roman"/>
                  <w:sz w:val="24"/>
                  <w:szCs w:val="24"/>
                </w:rPr>
                <w:t>Recommendation ITU-T L.1315 “Standardization terms and trends in energy efficiency”</w:t>
              </w:r>
            </w:hyperlink>
            <w:r w:rsidR="00A11163" w:rsidRPr="004567E2">
              <w:rPr>
                <w:rFonts w:ascii="Times New Roman" w:hAnsi="Times New Roman" w:cs="Times New Roman"/>
                <w:sz w:val="24"/>
                <w:szCs w:val="24"/>
              </w:rPr>
              <w:t xml:space="preserve"> contains high level definition of energy efficiency, energy management requirement to increase the energy efficiency of ICT goods/networks/services.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39" w:history="1">
              <w:r w:rsidR="00A11163" w:rsidRPr="004567E2">
                <w:rPr>
                  <w:rStyle w:val="Hyperlink"/>
                  <w:rFonts w:ascii="Times New Roman" w:hAnsi="Times New Roman" w:cs="Times New Roman"/>
                  <w:sz w:val="24"/>
                  <w:szCs w:val="24"/>
                </w:rPr>
                <w:t>Recommendation ITU-T L.1320: Energy efficiency metrics and measurement for power and cooling equipment for telecommunications and data centres</w:t>
              </w:r>
            </w:hyperlink>
            <w:r w:rsidR="00A11163" w:rsidRPr="004567E2">
              <w:rPr>
                <w:rFonts w:ascii="Times New Roman" w:hAnsi="Times New Roman" w:cs="Times New Roman"/>
                <w:sz w:val="24"/>
                <w:szCs w:val="24"/>
              </w:rPr>
              <w:t xml:space="preserve"> contains the general definition of metrics, test procedures, methodologies and measurement profiles required to assess the energy efficiency of power and cooling equipment for telecommunications and data centres.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40" w:tooltip="Reference operational model and interface for improving energy efficiency of ICT network hosts" w:history="1">
              <w:r w:rsidR="00A11163" w:rsidRPr="004567E2">
                <w:rPr>
                  <w:rStyle w:val="Hyperlink"/>
                  <w:rFonts w:ascii="Times New Roman" w:hAnsi="Times New Roman" w:cs="Times New Roman"/>
                  <w:sz w:val="24"/>
                  <w:szCs w:val="24"/>
                </w:rPr>
                <w:t>Recommendation ITU-T L.1321: Reference operational model and interface for improving energy efficiency of ICT network hosts</w:t>
              </w:r>
            </w:hyperlink>
            <w:r w:rsidR="00A11163" w:rsidRPr="004567E2">
              <w:rPr>
                <w:rFonts w:ascii="Times New Roman" w:hAnsi="Times New Roman" w:cs="Times New Roman"/>
                <w:sz w:val="24"/>
                <w:szCs w:val="24"/>
              </w:rPr>
              <w:t xml:space="preserve"> describes a reference operational model and interface for improving energy efficiency of ICT network hosts. The operational model and interface specify network proxy operation to support IPv4 ARP and DHCP in order to promote the deployment of network proxy.</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pStyle w:val="NormalWeb"/>
              <w:spacing w:before="0" w:beforeAutospacing="0" w:after="0" w:afterAutospacing="0"/>
              <w:rPr>
                <w:rStyle w:val="Hyperlink"/>
                <w:bCs/>
                <w:color w:val="auto"/>
                <w:u w:val="none"/>
                <w:lang w:val="en-GB"/>
              </w:rPr>
            </w:pPr>
            <w:hyperlink r:id="rId41" w:history="1">
              <w:r w:rsidR="00A11163" w:rsidRPr="004567E2">
                <w:rPr>
                  <w:rStyle w:val="Hyperlink"/>
                  <w:bCs/>
                </w:rPr>
                <w:t xml:space="preserve">Recommendation ITU-T </w:t>
              </w:r>
              <w:r w:rsidR="00A11163" w:rsidRPr="004567E2">
                <w:rPr>
                  <w:rStyle w:val="Hyperlink"/>
                  <w:bCs/>
                  <w:lang w:val="en-GB"/>
                </w:rPr>
                <w:t>L.1325 “Green ICT solutions for telecom network facilities”</w:t>
              </w:r>
            </w:hyperlink>
            <w:r w:rsidR="00A11163" w:rsidRPr="004567E2">
              <w:rPr>
                <w:bCs/>
                <w:lang w:val="en-GB"/>
              </w:rPr>
              <w:t xml:space="preserve"> specifies Green ICT solutions for telecom network facilities allowing to introduce highly-efficient infrastructure solutions, including highly-efficient power solutions, renewable energy solutions, air-conditioning energy saving solutions and free and economized cooling solutions.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pStyle w:val="NormalWeb"/>
              <w:spacing w:before="0" w:beforeAutospacing="0" w:after="0" w:afterAutospacing="0"/>
              <w:rPr>
                <w:rStyle w:val="Hyperlink"/>
                <w:color w:val="auto"/>
                <w:u w:val="none"/>
                <w:lang w:val="en-GB"/>
              </w:rPr>
            </w:pPr>
            <w:hyperlink r:id="rId42" w:history="1">
              <w:r w:rsidR="00A11163" w:rsidRPr="004567E2">
                <w:rPr>
                  <w:rStyle w:val="Hyperlink"/>
                  <w:bCs/>
                </w:rPr>
                <w:t xml:space="preserve">Recommendation ITU-T </w:t>
              </w:r>
              <w:r w:rsidR="00A11163" w:rsidRPr="004567E2">
                <w:rPr>
                  <w:rStyle w:val="Hyperlink"/>
                  <w:bCs/>
                  <w:lang w:val="en-GB"/>
                </w:rPr>
                <w:t>L.1350 “Energy efficiency metric of base station site”</w:t>
              </w:r>
            </w:hyperlink>
            <w:r w:rsidR="00A11163" w:rsidRPr="004567E2">
              <w:rPr>
                <w:bCs/>
                <w:lang w:val="en-GB"/>
              </w:rPr>
              <w:t xml:space="preserve"> contains basic definitions of energy efficiency metrics, </w:t>
            </w:r>
            <w:r w:rsidR="00A11163" w:rsidRPr="004567E2">
              <w:rPr>
                <w:bCs/>
                <w:color w:val="000000"/>
                <w:lang w:val="en-GB"/>
              </w:rPr>
              <w:t xml:space="preserve">to evaluate the energy efficiency of a base station site including the energy consumption for </w:t>
            </w:r>
            <w:r w:rsidR="00A11163" w:rsidRPr="004567E2">
              <w:rPr>
                <w:bCs/>
                <w:lang w:val="en-GB"/>
              </w:rPr>
              <w:t>all the telecom equipment inside the base station site, the entire infrastructure, and energy losses due to AC/DC rectifiers, generator and cable losses.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43" w:tooltip=" Energy efficiency measurement and metrics for telecommunication networks" w:history="1">
              <w:r w:rsidR="00A11163" w:rsidRPr="004567E2">
                <w:rPr>
                  <w:rStyle w:val="Hyperlink"/>
                  <w:rFonts w:ascii="Times New Roman" w:hAnsi="Times New Roman" w:cs="Times New Roman"/>
                  <w:sz w:val="24"/>
                  <w:szCs w:val="24"/>
                </w:rPr>
                <w:t>Recommendation ITU-T L.1330: Energy efficiency measurement and metrics for telecommunication networks</w:t>
              </w:r>
            </w:hyperlink>
            <w:r w:rsidR="00A11163" w:rsidRPr="004567E2">
              <w:rPr>
                <w:rFonts w:ascii="Times New Roman" w:hAnsi="Times New Roman" w:cs="Times New Roman"/>
                <w:sz w:val="24"/>
                <w:szCs w:val="24"/>
              </w:rPr>
              <w:t xml:space="preserve"> provides a set of metrics for the assessment of energy efficiency (EE) of telecommunication (TLC) mobile networks, together with proper measurement methods.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lastRenderedPageBreak/>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44" w:history="1">
              <w:r w:rsidR="00A11163" w:rsidRPr="004567E2">
                <w:rPr>
                  <w:rStyle w:val="Hyperlink"/>
                  <w:rFonts w:ascii="Times New Roman" w:hAnsi="Times New Roman" w:cs="Times New Roman"/>
                  <w:sz w:val="24"/>
                  <w:szCs w:val="24"/>
                </w:rPr>
                <w:t>Recommendation ITU-T L.1331 “Assessment of mobile network energy efficiency”</w:t>
              </w:r>
            </w:hyperlink>
            <w:r w:rsidR="00A11163" w:rsidRPr="004567E2">
              <w:rPr>
                <w:rFonts w:ascii="Times New Roman" w:hAnsi="Times New Roman" w:cs="Times New Roman"/>
                <w:sz w:val="24"/>
                <w:szCs w:val="24"/>
              </w:rPr>
              <w:t xml:space="preserve"> aims to provide a better understanding of the energy efficiency of mobile networks. The focus is on the metrics and methods of assessing energy efficiency in operational networks. This Recommendation explains how to extrapolate the measurements made on partial networks to the level of the total network. Such a simplified approach is proposed as an approximate way of making energy efficiency evaluations at the level of network elements and cannot therefore be considered sufficient for the whole network operation including, for example, transport.</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45" w:history="1">
              <w:r w:rsidR="00A11163" w:rsidRPr="004567E2">
                <w:rPr>
                  <w:rStyle w:val="Hyperlink"/>
                  <w:rFonts w:ascii="Times New Roman" w:hAnsi="Times New Roman" w:cs="Times New Roman"/>
                  <w:sz w:val="24"/>
                  <w:szCs w:val="24"/>
                </w:rPr>
                <w:t>Recommendation ITU-T L.1332 “Total network infrastructure energy efficiency metrics”</w:t>
              </w:r>
            </w:hyperlink>
            <w:r w:rsidR="00A11163" w:rsidRPr="004567E2">
              <w:rPr>
                <w:rFonts w:ascii="Times New Roman" w:hAnsi="Times New Roman" w:cs="Times New Roman"/>
                <w:sz w:val="24"/>
                <w:szCs w:val="24"/>
              </w:rPr>
              <w:t xml:space="preserve"> contains the basic definition of energy efficiency metrics and measurement methods required to evaluate the energy efficiency of a total network, including the energy consumption for:</w:t>
            </w:r>
          </w:p>
          <w:p w:rsidR="00A11163" w:rsidRPr="004567E2" w:rsidRDefault="00A11163" w:rsidP="00A11163">
            <w:pPr>
              <w:pStyle w:val="ListParagraph"/>
              <w:numPr>
                <w:ilvl w:val="0"/>
                <w:numId w:val="14"/>
              </w:numPr>
              <w:contextualSpacing w:val="0"/>
              <w:rPr>
                <w:rFonts w:ascii="Times New Roman" w:hAnsi="Times New Roman" w:cs="Times New Roman"/>
                <w:sz w:val="24"/>
                <w:szCs w:val="24"/>
              </w:rPr>
            </w:pPr>
            <w:r w:rsidRPr="004567E2">
              <w:rPr>
                <w:rFonts w:ascii="Times New Roman" w:hAnsi="Times New Roman" w:cs="Times New Roman"/>
                <w:sz w:val="24"/>
                <w:szCs w:val="24"/>
              </w:rPr>
              <w:t>all telecommunication (TLC)/information and communications technology (ICT) equipment in the network;</w:t>
            </w:r>
          </w:p>
          <w:p w:rsidR="00A11163" w:rsidRPr="004567E2" w:rsidRDefault="00A11163" w:rsidP="00A11163">
            <w:pPr>
              <w:pStyle w:val="ListParagraph"/>
              <w:numPr>
                <w:ilvl w:val="0"/>
                <w:numId w:val="14"/>
              </w:numPr>
              <w:contextualSpacing w:val="0"/>
              <w:rPr>
                <w:rFonts w:ascii="Times New Roman" w:hAnsi="Times New Roman" w:cs="Times New Roman"/>
                <w:sz w:val="24"/>
                <w:szCs w:val="24"/>
              </w:rPr>
            </w:pPr>
            <w:r w:rsidRPr="004567E2">
              <w:rPr>
                <w:rFonts w:ascii="Times New Roman" w:hAnsi="Times New Roman" w:cs="Times New Roman"/>
                <w:sz w:val="24"/>
                <w:szCs w:val="24"/>
              </w:rPr>
              <w:t>all facilities equipment (e.g., cooling systems, site monitoring systems, fire protection and lighting systems</w:t>
            </w:r>
          </w:p>
          <w:p w:rsidR="00A11163" w:rsidRPr="004567E2" w:rsidRDefault="00A11163" w:rsidP="00A11163">
            <w:pPr>
              <w:pStyle w:val="ListParagraph"/>
              <w:numPr>
                <w:ilvl w:val="0"/>
                <w:numId w:val="14"/>
              </w:numPr>
              <w:contextualSpacing w:val="0"/>
              <w:rPr>
                <w:rFonts w:ascii="Times New Roman" w:hAnsi="Times New Roman" w:cs="Times New Roman"/>
                <w:sz w:val="24"/>
                <w:szCs w:val="24"/>
              </w:rPr>
            </w:pPr>
            <w:r w:rsidRPr="004567E2">
              <w:rPr>
                <w:rFonts w:ascii="Times New Roman" w:hAnsi="Times New Roman" w:cs="Times New Roman"/>
                <w:sz w:val="24"/>
                <w:szCs w:val="24"/>
              </w:rPr>
              <w:t>energy losses in DC power station or AC UPS and in the power distribution</w:t>
            </w:r>
          </w:p>
          <w:p w:rsidR="00A11163" w:rsidRPr="004567E2" w:rsidRDefault="00A11163" w:rsidP="00A11163">
            <w:pPr>
              <w:pStyle w:val="ListParagraph"/>
              <w:numPr>
                <w:ilvl w:val="0"/>
                <w:numId w:val="14"/>
              </w:numPr>
              <w:contextualSpacing w:val="0"/>
              <w:rPr>
                <w:rFonts w:ascii="Times New Roman" w:hAnsi="Times New Roman" w:cs="Times New Roman"/>
                <w:sz w:val="24"/>
                <w:szCs w:val="24"/>
              </w:rPr>
            </w:pPr>
            <w:r w:rsidRPr="004567E2">
              <w:rPr>
                <w:rFonts w:ascii="Times New Roman" w:hAnsi="Times New Roman" w:cs="Times New Roman"/>
                <w:sz w:val="24"/>
                <w:szCs w:val="24"/>
              </w:rPr>
              <w:t>maintenance activities and site-visit energy used for transportation (e.g., by car);</w:t>
            </w:r>
          </w:p>
          <w:p w:rsidR="00A11163" w:rsidRPr="004567E2" w:rsidRDefault="00A11163" w:rsidP="00A11163">
            <w:pPr>
              <w:pStyle w:val="ListParagraph"/>
              <w:numPr>
                <w:ilvl w:val="0"/>
                <w:numId w:val="14"/>
              </w:numPr>
              <w:contextualSpacing w:val="0"/>
              <w:rPr>
                <w:rStyle w:val="Hyperlink"/>
                <w:rFonts w:ascii="Times New Roman" w:hAnsi="Times New Roman" w:cs="Times New Roman"/>
                <w:color w:val="auto"/>
                <w:sz w:val="24"/>
                <w:szCs w:val="24"/>
                <w:u w:val="none"/>
                <w:lang w:val="en-GB"/>
              </w:rPr>
            </w:pPr>
            <w:r w:rsidRPr="004567E2">
              <w:rPr>
                <w:rFonts w:ascii="Times New Roman" w:hAnsi="Times New Roman" w:cs="Times New Roman"/>
                <w:sz w:val="24"/>
                <w:szCs w:val="24"/>
              </w:rPr>
              <w:t>diesel generators used for emergency purposes.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6" w:tooltip="Informative values on the energy efficiency of telecommunication equipment" w:history="1">
              <w:r w:rsidR="00A11163" w:rsidRPr="004567E2">
                <w:rPr>
                  <w:rStyle w:val="Hyperlink"/>
                  <w:rFonts w:ascii="Times New Roman" w:hAnsi="Times New Roman" w:cs="Times New Roman"/>
                  <w:sz w:val="24"/>
                  <w:szCs w:val="24"/>
                </w:rPr>
                <w:t>Recommendation ITU-T L.1340: Informative values on the energy efficiency of telecommunication equipment</w:t>
              </w:r>
            </w:hyperlink>
            <w:r w:rsidR="00A11163" w:rsidRPr="004567E2">
              <w:rPr>
                <w:rFonts w:ascii="Times New Roman" w:hAnsi="Times New Roman" w:cs="Times New Roman"/>
                <w:sz w:val="24"/>
                <w:szCs w:val="24"/>
              </w:rPr>
              <w:t xml:space="preserve"> provides informative values on the energy efficiency of different types of telecommunication network equipment and small networking equipment in use in both the fixed and mobile networks. These values are related to energy efficiency metrics, test procedures, methodologies and measurement profiles that have been defined in Recommendation ITU-T L.1310.</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 xml:space="preserve">These informative values are intended to be a valued reference resource for those in the process of choosing the most energy-efficient technologies for network upgrade </w:t>
            </w:r>
            <w:r w:rsidRPr="004567E2">
              <w:rPr>
                <w:rFonts w:ascii="Times New Roman" w:hAnsi="Times New Roman" w:cs="Times New Roman"/>
                <w:sz w:val="24"/>
                <w:szCs w:val="24"/>
              </w:rPr>
              <w:lastRenderedPageBreak/>
              <w:t>and deployment and, in so doing, reducing the carbon footprint of the Information and Communication Technology (ICT) sector.</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47" w:tooltip="Energy efficiency metrics of a base station site" w:history="1">
              <w:r w:rsidR="00A11163" w:rsidRPr="004567E2">
                <w:rPr>
                  <w:rStyle w:val="Hyperlink"/>
                  <w:rFonts w:ascii="Times New Roman" w:hAnsi="Times New Roman" w:cs="Times New Roman"/>
                  <w:sz w:val="24"/>
                  <w:szCs w:val="24"/>
                </w:rPr>
                <w:t>Recommendation ITU-T L.1350: Energy efficiency metrics of a base station site</w:t>
              </w:r>
            </w:hyperlink>
            <w:r w:rsidR="00A11163" w:rsidRPr="004567E2">
              <w:rPr>
                <w:rFonts w:ascii="Times New Roman" w:hAnsi="Times New Roman" w:cs="Times New Roman"/>
                <w:sz w:val="24"/>
                <w:szCs w:val="24"/>
              </w:rPr>
              <w:t xml:space="preserve"> contains basic definitions of energy efficiency metric, to evaluate the energy efficiency of a base station site.</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8" w:history="1">
              <w:r w:rsidR="00A11163" w:rsidRPr="004567E2">
                <w:rPr>
                  <w:rStyle w:val="Hyperlink"/>
                  <w:rFonts w:ascii="Times New Roman" w:hAnsi="Times New Roman" w:cs="Times New Roman"/>
                  <w:sz w:val="24"/>
                  <w:szCs w:val="24"/>
                </w:rPr>
                <w:t>Recommendation ITU-T L.1351 "Base station site energy efficiency measurement methodology"</w:t>
              </w:r>
            </w:hyperlink>
            <w:r w:rsidR="00A11163" w:rsidRPr="004567E2">
              <w:rPr>
                <w:rFonts w:ascii="Times New Roman" w:hAnsi="Times New Roman" w:cs="Times New Roman"/>
                <w:sz w:val="24"/>
                <w:szCs w:val="24"/>
              </w:rPr>
              <w:t xml:space="preserve"> describes and establishes requirements for energy efficiency measurements applicable to base station sites. This Recommendation describes:</w:t>
            </w:r>
          </w:p>
          <w:p w:rsidR="00A11163" w:rsidRPr="004567E2" w:rsidRDefault="00A11163" w:rsidP="00A11163">
            <w:pPr>
              <w:pStyle w:val="ListParagraph"/>
              <w:widowControl w:val="0"/>
              <w:numPr>
                <w:ilvl w:val="0"/>
                <w:numId w:val="9"/>
              </w:numPr>
              <w:contextualSpacing w:val="0"/>
              <w:rPr>
                <w:rFonts w:ascii="Times New Roman" w:hAnsi="Times New Roman" w:cs="Times New Roman"/>
                <w:sz w:val="24"/>
                <w:szCs w:val="24"/>
              </w:rPr>
            </w:pPr>
            <w:r w:rsidRPr="004567E2">
              <w:rPr>
                <w:rFonts w:ascii="Times New Roman" w:hAnsi="Times New Roman" w:cs="Times New Roman"/>
                <w:sz w:val="24"/>
                <w:szCs w:val="24"/>
              </w:rPr>
              <w:t>Measurement points definitions</w:t>
            </w:r>
          </w:p>
          <w:p w:rsidR="00A11163" w:rsidRPr="004567E2" w:rsidRDefault="00A11163" w:rsidP="00A11163">
            <w:pPr>
              <w:pStyle w:val="ListParagraph"/>
              <w:widowControl w:val="0"/>
              <w:numPr>
                <w:ilvl w:val="0"/>
                <w:numId w:val="9"/>
              </w:numPr>
              <w:contextualSpacing w:val="0"/>
              <w:rPr>
                <w:rFonts w:ascii="Times New Roman" w:hAnsi="Times New Roman" w:cs="Times New Roman"/>
                <w:sz w:val="24"/>
                <w:szCs w:val="24"/>
              </w:rPr>
            </w:pPr>
            <w:r w:rsidRPr="004567E2">
              <w:rPr>
                <w:rFonts w:ascii="Times New Roman" w:hAnsi="Times New Roman" w:cs="Times New Roman"/>
                <w:sz w:val="24"/>
                <w:szCs w:val="24"/>
              </w:rPr>
              <w:t>Conditions of measurement</w:t>
            </w:r>
          </w:p>
          <w:p w:rsidR="00A11163" w:rsidRPr="004567E2" w:rsidRDefault="00A11163" w:rsidP="00A11163">
            <w:pPr>
              <w:pStyle w:val="ListParagraph"/>
              <w:widowControl w:val="0"/>
              <w:numPr>
                <w:ilvl w:val="0"/>
                <w:numId w:val="9"/>
              </w:numPr>
              <w:contextualSpacing w:val="0"/>
              <w:rPr>
                <w:rFonts w:ascii="Times New Roman" w:hAnsi="Times New Roman" w:cs="Times New Roman"/>
                <w:sz w:val="24"/>
                <w:szCs w:val="24"/>
              </w:rPr>
            </w:pPr>
            <w:r w:rsidRPr="004567E2">
              <w:rPr>
                <w:rFonts w:ascii="Times New Roman" w:hAnsi="Times New Roman" w:cs="Times New Roman"/>
                <w:sz w:val="24"/>
                <w:szCs w:val="24"/>
              </w:rPr>
              <w:t>Instrumentation requirement</w:t>
            </w:r>
          </w:p>
          <w:p w:rsidR="00A11163" w:rsidRPr="004567E2" w:rsidRDefault="00A11163" w:rsidP="00A11163">
            <w:pPr>
              <w:pStyle w:val="ListParagraph"/>
              <w:widowControl w:val="0"/>
              <w:numPr>
                <w:ilvl w:val="0"/>
                <w:numId w:val="9"/>
              </w:numPr>
              <w:contextualSpacing w:val="0"/>
              <w:rPr>
                <w:rFonts w:ascii="Times New Roman" w:hAnsi="Times New Roman" w:cs="Times New Roman"/>
                <w:sz w:val="24"/>
                <w:szCs w:val="24"/>
              </w:rPr>
            </w:pPr>
            <w:r w:rsidRPr="004567E2">
              <w:rPr>
                <w:rFonts w:ascii="Times New Roman" w:hAnsi="Times New Roman" w:cs="Times New Roman"/>
                <w:sz w:val="24"/>
                <w:szCs w:val="24"/>
              </w:rPr>
              <w:t>Reporting requirement</w:t>
            </w:r>
          </w:p>
          <w:p w:rsidR="00A11163" w:rsidRPr="004567E2" w:rsidRDefault="00A11163" w:rsidP="00A11163">
            <w:pPr>
              <w:pStyle w:val="ListParagraph"/>
              <w:widowControl w:val="0"/>
              <w:numPr>
                <w:ilvl w:val="0"/>
                <w:numId w:val="9"/>
              </w:numPr>
              <w:contextualSpacing w:val="0"/>
              <w:rPr>
                <w:rFonts w:ascii="Times New Roman" w:hAnsi="Times New Roman" w:cs="Times New Roman"/>
                <w:sz w:val="24"/>
                <w:szCs w:val="24"/>
              </w:rPr>
            </w:pPr>
            <w:r w:rsidRPr="004567E2">
              <w:rPr>
                <w:rFonts w:ascii="Times New Roman" w:hAnsi="Times New Roman" w:cs="Times New Roman"/>
                <w:sz w:val="24"/>
                <w:szCs w:val="24"/>
              </w:rPr>
              <w:t>Use of a monitoring system</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This Recommendation can be used as a conformity assessment standard for Recommendation ITU T L.1350.</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9" w:tooltip="Energy control of SDN architecture" w:history="1">
              <w:r w:rsidR="00A11163" w:rsidRPr="004567E2">
                <w:rPr>
                  <w:rStyle w:val="Hyperlink"/>
                  <w:rFonts w:ascii="Times New Roman" w:hAnsi="Times New Roman" w:cs="Times New Roman"/>
                  <w:sz w:val="24"/>
                  <w:szCs w:val="24"/>
                </w:rPr>
                <w:t>Recommendation ITU-T L.1360: Energy control of SDN architecture</w:t>
              </w:r>
            </w:hyperlink>
            <w:r w:rsidR="00A11163" w:rsidRPr="004567E2">
              <w:rPr>
                <w:rFonts w:ascii="Times New Roman" w:hAnsi="Times New Roman" w:cs="Times New Roman"/>
                <w:sz w:val="24"/>
                <w:szCs w:val="24"/>
              </w:rPr>
              <w:t xml:space="preserve"> </w:t>
            </w:r>
            <w:r w:rsidR="00A11163" w:rsidRPr="004567E2">
              <w:rPr>
                <w:rFonts w:ascii="Times New Roman" w:hAnsi="Times New Roman" w:cs="Times New Roman"/>
                <w:bCs/>
                <w:sz w:val="24"/>
                <w:szCs w:val="24"/>
              </w:rPr>
              <w:t>defines the integration of the Green Abstraction Layer [ETSI ES 203 237] into a software-defined networking (SDN) architecture [ITU-T Y.3302].</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Style w:val="Hyperlink"/>
                <w:rFonts w:ascii="Times New Roman" w:hAnsi="Times New Roman" w:cs="Times New Roman"/>
                <w:sz w:val="24"/>
                <w:szCs w:val="24"/>
              </w:rPr>
            </w:pPr>
            <w:hyperlink r:id="rId50" w:history="1">
              <w:r w:rsidR="00A11163" w:rsidRPr="004567E2">
                <w:rPr>
                  <w:rStyle w:val="Hyperlink"/>
                  <w:rFonts w:ascii="Times New Roman" w:hAnsi="Times New Roman" w:cs="Times New Roman"/>
                  <w:sz w:val="24"/>
                  <w:szCs w:val="24"/>
                </w:rPr>
                <w:t>Recommendation ITU-T L.1361 “Measurement method for energy efficiency of Network Function Virtualization”</w:t>
              </w:r>
            </w:hyperlink>
            <w:r w:rsidR="00A11163" w:rsidRPr="004567E2">
              <w:rPr>
                <w:rStyle w:val="Hyperlink"/>
                <w:rFonts w:ascii="Times New Roman" w:hAnsi="Times New Roman" w:cs="Times New Roman"/>
                <w:sz w:val="24"/>
                <w:szCs w:val="24"/>
              </w:rPr>
              <w:t xml:space="preserve"> defines common energy efficiency measurement methods for NFV environments, it does not try to cover all different types of VNFs (e.g. firewall, gateway, etc.), but it provides the basis to make extensible definition.</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pStyle w:val="NormalWeb"/>
              <w:spacing w:before="0" w:beforeAutospacing="0" w:after="0" w:afterAutospacing="0"/>
              <w:rPr>
                <w:lang w:val="en-GB"/>
              </w:rPr>
            </w:pPr>
            <w:hyperlink r:id="rId51" w:tooltip="ITU-T L.1310 – Supplement on energy efficiency for telecommunication equipment" w:history="1">
              <w:r w:rsidR="00A11163" w:rsidRPr="004567E2">
                <w:rPr>
                  <w:rStyle w:val="Hyperlink"/>
                </w:rPr>
                <w:t>ITU-T L Suppl. 1: ITU-T L.1310 – “Supplement on energy efficiency for telecommunication equipment</w:t>
              </w:r>
            </w:hyperlink>
            <w:r w:rsidR="00A11163" w:rsidRPr="004567E2">
              <w:rPr>
                <w:rStyle w:val="Hyperlink"/>
              </w:rPr>
              <w:t>”</w:t>
            </w:r>
            <w:r w:rsidR="00A11163" w:rsidRPr="004567E2">
              <w:t xml:space="preserve"> reviews the concepts for energy efficiency in application to networking devices; it presents a concept of place in a network as a base for classification, describes a process for creating a single metric for energy efficiency which reflects the qualities of equipment scalability with traffic levels and provides testing topologies and traffic pattern descriptions.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lastRenderedPageBreak/>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pStyle w:val="NormalWeb"/>
              <w:spacing w:before="40" w:beforeAutospacing="0" w:after="0" w:afterAutospacing="0"/>
              <w:rPr>
                <w:rStyle w:val="Hyperlink"/>
                <w:color w:val="auto"/>
                <w:u w:val="none"/>
              </w:rPr>
            </w:pPr>
            <w:hyperlink r:id="rId52" w:history="1">
              <w:r w:rsidR="00A11163" w:rsidRPr="004567E2">
                <w:rPr>
                  <w:rStyle w:val="Hyperlink"/>
                </w:rPr>
                <w:t>Recommendation ITU-T L.1370 “Sustainable and intelligent building services”</w:t>
              </w:r>
            </w:hyperlink>
            <w:r w:rsidR="00A11163" w:rsidRPr="004567E2">
              <w:rPr>
                <w:rStyle w:val="Hyperlink"/>
              </w:rPr>
              <w:t xml:space="preserve">: </w:t>
            </w:r>
            <w:r w:rsidR="00A11163" w:rsidRPr="004567E2">
              <w:rPr>
                <w:rStyle w:val="Hyperlink"/>
                <w:color w:val="auto"/>
                <w:u w:val="none"/>
              </w:rPr>
              <w:t>The Sustainable Intelligent Building (SIB) arises with an outstanding role in terms of efficiency and environmentally aware practices, and hence as the key enabler of the sustainability of the building itself, and thus, of the city as a whole. This recommendation sets the minimal requirements for an efficient and sustainable management of the building as a unit. The sustainability of human activities in urban areas cannot be addressed without taking into consideration the building, which is the most basic unit that cities are composed of.</w:t>
            </w:r>
          </w:p>
          <w:p w:rsidR="00A11163" w:rsidRPr="004567E2" w:rsidRDefault="00A11163" w:rsidP="00A11163">
            <w:pPr>
              <w:pStyle w:val="NormalWeb"/>
              <w:spacing w:before="120" w:beforeAutospacing="0" w:after="0" w:afterAutospacing="0"/>
              <w:rPr>
                <w:rStyle w:val="Hyperlink"/>
                <w:color w:val="auto"/>
                <w:u w:val="none"/>
              </w:rPr>
            </w:pPr>
            <w:r w:rsidRPr="004567E2">
              <w:rPr>
                <w:rStyle w:val="Hyperlink"/>
                <w:color w:val="auto"/>
                <w:u w:val="none"/>
              </w:rPr>
              <w:t>This Recommendation also defines the services enabled by the SIB concept, the way it contributes to the aforementioned goals of sustainability, its features, its different possible functioning modes, or its internal architecture and requirements with the IoT node at its core.</w:t>
            </w:r>
          </w:p>
          <w:p w:rsidR="00A11163" w:rsidRPr="004567E2" w:rsidRDefault="00A11163" w:rsidP="00A11163">
            <w:pPr>
              <w:pStyle w:val="NormalWeb"/>
              <w:spacing w:before="120" w:beforeAutospacing="0" w:after="0" w:afterAutospacing="0"/>
              <w:rPr>
                <w:rStyle w:val="Hyperlink"/>
                <w:color w:val="auto"/>
                <w:u w:val="none"/>
              </w:rPr>
            </w:pPr>
            <w:r w:rsidRPr="004567E2">
              <w:rPr>
                <w:rStyle w:val="Hyperlink"/>
                <w:color w:val="auto"/>
                <w:u w:val="none"/>
              </w:rPr>
              <w:t>Interoperability deserves a special mention among these requirements and specifications, as most of the added-value that the SIB provides comes into action when it interacts with other parts of the building, other buildings, city elements, or the city itself. Protocols, semantics, and normalization are key as a part of this interaction, and the SIB with its IoT node is required to be compliant with all of them.</w:t>
            </w:r>
          </w:p>
          <w:p w:rsidR="00A11163" w:rsidRPr="004567E2" w:rsidRDefault="00A11163" w:rsidP="00A11163">
            <w:pPr>
              <w:pStyle w:val="NormalWeb"/>
              <w:spacing w:before="120" w:beforeAutospacing="0" w:after="0" w:afterAutospacing="0"/>
              <w:rPr>
                <w:rStyle w:val="Hyperlink"/>
                <w:color w:val="auto"/>
                <w:u w:val="none"/>
              </w:rPr>
            </w:pPr>
            <w:r w:rsidRPr="004567E2">
              <w:rPr>
                <w:rStyle w:val="Hyperlink"/>
                <w:color w:val="auto"/>
                <w:u w:val="none"/>
              </w:rPr>
              <w:t>Extensibility is another key feature for the SIB and the IoT node. The technology behind smart and sustainable cities is currently evolving very quickly, as it is a state-of-the-art technological arena. That is the reason why one of the most important architectural patterns to take into consideration is to design a SIB and an IoT node that support not only upgrading, but also the capacity to accommodate new technologies, protocols, services and applications that may be relevant for the industry in the future.</w:t>
            </w:r>
          </w:p>
          <w:p w:rsidR="00A11163" w:rsidRPr="004567E2" w:rsidRDefault="00A11163" w:rsidP="00A11163">
            <w:pPr>
              <w:pStyle w:val="NormalWeb"/>
              <w:spacing w:before="120" w:beforeAutospacing="0" w:after="0" w:afterAutospacing="0"/>
              <w:rPr>
                <w:rStyle w:val="Hyperlink"/>
              </w:rPr>
            </w:pPr>
            <w:r w:rsidRPr="004567E2">
              <w:rPr>
                <w:rStyle w:val="Hyperlink"/>
                <w:color w:val="auto"/>
                <w:u w:val="none"/>
              </w:rPr>
              <w:t xml:space="preserve">In addition to these clear advantages for the technical durability of the SIB infrastructure, this will enable as well the creation of an open “smart ecosystem”, </w:t>
            </w:r>
            <w:r w:rsidRPr="004567E2">
              <w:rPr>
                <w:rStyle w:val="Hyperlink"/>
                <w:color w:val="auto"/>
                <w:u w:val="none"/>
              </w:rPr>
              <w:lastRenderedPageBreak/>
              <w:t>with third parties being able to integrate their own developments, expanding the capacities of the SIB, and ultimately contributing to improve the quality of life of citizens.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pStyle w:val="NormalWeb"/>
              <w:spacing w:before="0" w:beforeAutospacing="0" w:after="0" w:afterAutospacing="0"/>
            </w:pPr>
            <w:hyperlink r:id="rId53" w:tooltip="ITU-T L.1502 - Best practices for infrastructure adaptation to climate change" w:history="1">
              <w:r w:rsidR="00A11163" w:rsidRPr="004567E2">
                <w:rPr>
                  <w:rStyle w:val="Hyperlink"/>
                </w:rPr>
                <w:t>ITU-T L Suppl. 25: ITU-T L.1502 “Best practices for infrastructure adaptation to climate change</w:t>
              </w:r>
            </w:hyperlink>
            <w:r w:rsidR="00A11163" w:rsidRPr="004567E2">
              <w:rPr>
                <w:rStyle w:val="Hyperlink"/>
              </w:rPr>
              <w:t>”</w:t>
            </w:r>
            <w:r w:rsidR="00A11163" w:rsidRPr="004567E2">
              <w:t xml:space="preserve"> provides general principles and illustrates best practices on how ICT infrastructure can be adapted to cope with the effects of climate change.</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pStyle w:val="NormalWeb"/>
              <w:spacing w:before="0" w:beforeAutospacing="0" w:after="0" w:afterAutospacing="0"/>
              <w:rPr>
                <w:rStyle w:val="Hyperlink"/>
                <w:color w:val="auto"/>
                <w:u w:val="none"/>
              </w:rPr>
            </w:pPr>
            <w:hyperlink r:id="rId54" w:history="1">
              <w:r w:rsidR="00A11163" w:rsidRPr="004567E2">
                <w:rPr>
                  <w:rStyle w:val="Hyperlink"/>
                </w:rPr>
                <w:t>ITU-T L Suppl. 33 “Assessment of energy consumption of information and communication technology services</w:t>
              </w:r>
            </w:hyperlink>
            <w:r w:rsidR="00A11163" w:rsidRPr="004567E2">
              <w:rPr>
                <w:rStyle w:val="Hyperlink"/>
              </w:rPr>
              <w:t>”</w:t>
            </w:r>
            <w:r w:rsidR="00A11163" w:rsidRPr="004567E2">
              <w:t xml:space="preserve"> describes a methodology for assessing the energy consumption of an ICT service. This assessment is based upon the traffic generated by the service and the equipment through which that traffic propagates. This Supplement proposes a more detailed methodology for an assessment of the power consumption of a specific ICT service that is sharing infrastructure with other services. This enables companies to allocate power consumption of all segments of the network (i.e. the allocation can be made in the CPE, access, metro and core networks) to specific services based on throughput. This document provides an overview of the method and a “step-by-step” description of the process.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pStyle w:val="NormalWeb"/>
              <w:spacing w:before="0" w:beforeAutospacing="0" w:after="0" w:afterAutospacing="0"/>
              <w:rPr>
                <w:rStyle w:val="Hyperlink"/>
                <w:rFonts w:eastAsia="MS Mincho"/>
                <w:i/>
                <w:iCs/>
                <w:color w:val="auto"/>
                <w:u w:val="none"/>
                <w:lang w:val="en-GB"/>
              </w:rPr>
            </w:pPr>
            <w:hyperlink r:id="rId55" w:history="1">
              <w:r w:rsidR="00A11163" w:rsidRPr="004567E2">
                <w:rPr>
                  <w:rStyle w:val="Hyperlink"/>
                  <w:rFonts w:eastAsia="MS Mincho"/>
                  <w:lang w:val="en-GB"/>
                </w:rPr>
                <w:t>ITU-T L.Suppl.36 “Study on methods and metrics to evaluate energy efficiency for future 5G systems”</w:t>
              </w:r>
            </w:hyperlink>
            <w:r w:rsidR="00A11163" w:rsidRPr="004567E2">
              <w:rPr>
                <w:rFonts w:eastAsia="MS Mincho"/>
                <w:i/>
                <w:iCs/>
                <w:lang w:val="en-GB"/>
              </w:rPr>
              <w:t xml:space="preserve"> </w:t>
            </w:r>
            <w:r w:rsidR="00A11163" w:rsidRPr="004567E2">
              <w:rPr>
                <w:rFonts w:eastAsia="MS Mincho"/>
                <w:iCs/>
                <w:lang w:val="en-GB"/>
              </w:rPr>
              <w:t>analyses the energy efficiency issues for future 5G systems. 5G systems are the object of standardization in 3GPP and ITU and is planned to be available from 2018 in various countries. The focus of this Supplement is on methods and metrics to measure energy efficiency in 5G systems, with consideration of the degree of stability of the systems known so far and the experience of the legacy systems as well as related measurement procedures for evaluating future standardization evolutions.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56" w:history="1">
              <w:r w:rsidR="00A11163" w:rsidRPr="004567E2">
                <w:rPr>
                  <w:rStyle w:val="Hyperlink"/>
                  <w:rFonts w:ascii="Times New Roman" w:hAnsi="Times New Roman" w:cs="Times New Roman"/>
                  <w:sz w:val="24"/>
                  <w:szCs w:val="24"/>
                </w:rPr>
                <w:t>Recommendation ITU-T Y.2064/Y.4252 “Energy saving using smart objects in home networks”</w:t>
              </w:r>
            </w:hyperlink>
            <w:r w:rsidR="00A11163" w:rsidRPr="004567E2">
              <w:rPr>
                <w:rFonts w:ascii="Times New Roman" w:hAnsi="Times New Roman" w:cs="Times New Roman"/>
                <w:sz w:val="24"/>
                <w:szCs w:val="24"/>
              </w:rPr>
              <w:t xml:space="preserve"> describes requirements and capabilities for saving energy by using smart objects in home networks. It also presents the functional architecture of key components for saving energy through home/building automation.</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lastRenderedPageBreak/>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pStyle w:val="NormalWeb"/>
              <w:spacing w:before="0" w:beforeAutospacing="0" w:after="0" w:afterAutospacing="0"/>
            </w:pPr>
            <w:hyperlink r:id="rId57" w:history="1">
              <w:r w:rsidR="00A11163" w:rsidRPr="004567E2">
                <w:rPr>
                  <w:rStyle w:val="Hyperlink"/>
                </w:rPr>
                <w:t>Recommendation ITU-T Y.2070/Y.4409 “Requirements and architecture of the home energy management system and home network services”</w:t>
              </w:r>
            </w:hyperlink>
            <w:r w:rsidR="00A11163" w:rsidRPr="004567E2">
              <w:t xml:space="preserve"> </w:t>
            </w:r>
            <w:r w:rsidR="00A11163" w:rsidRPr="004567E2">
              <w:rPr>
                <w:lang w:eastAsia="ja-JP"/>
              </w:rPr>
              <w:t xml:space="preserve">provides the requirements and </w:t>
            </w:r>
            <w:r w:rsidR="00A11163" w:rsidRPr="004567E2">
              <w:t xml:space="preserve">architecture of the </w:t>
            </w:r>
            <w:r w:rsidR="00A11163" w:rsidRPr="004567E2">
              <w:rPr>
                <w:lang w:eastAsia="ja-JP"/>
              </w:rPr>
              <w:t xml:space="preserve">home energy management system (HEMS) and </w:t>
            </w:r>
            <w:r w:rsidR="00A11163" w:rsidRPr="004567E2">
              <w:t xml:space="preserve">home network </w:t>
            </w:r>
            <w:r w:rsidR="00A11163" w:rsidRPr="004567E2">
              <w:rPr>
                <w:lang w:eastAsia="ja-JP"/>
              </w:rPr>
              <w:t>(</w:t>
            </w:r>
            <w:r w:rsidR="00A11163" w:rsidRPr="004567E2">
              <w:t>HN</w:t>
            </w:r>
            <w:r w:rsidR="00A11163" w:rsidRPr="004567E2">
              <w:rPr>
                <w:lang w:eastAsia="ja-JP"/>
              </w:rPr>
              <w:t>) services. The HEMS supports energy efficiency and r</w:t>
            </w:r>
            <w:r w:rsidR="00A11163" w:rsidRPr="004567E2">
              <w:t>eduction of energy consumption</w:t>
            </w:r>
            <w:r w:rsidR="00A11163" w:rsidRPr="004567E2">
              <w:rPr>
                <w:lang w:eastAsia="ja-JP"/>
              </w:rPr>
              <w:t xml:space="preserve"> by </w:t>
            </w:r>
            <w:r w:rsidR="00A11163" w:rsidRPr="004567E2">
              <w:t>monitoring and controlling device</w:t>
            </w:r>
            <w:r w:rsidR="00A11163" w:rsidRPr="004567E2">
              <w:rPr>
                <w:lang w:eastAsia="ja-JP"/>
              </w:rPr>
              <w:t>s</w:t>
            </w:r>
            <w:r w:rsidR="00A11163" w:rsidRPr="004567E2">
              <w:t xml:space="preserve"> </w:t>
            </w:r>
            <w:r w:rsidR="00A11163" w:rsidRPr="004567E2">
              <w:rPr>
                <w:lang w:eastAsia="ja-JP"/>
              </w:rPr>
              <w:t xml:space="preserve">such as home appliances, storage batteries and sensors </w:t>
            </w:r>
            <w:r w:rsidR="00A11163" w:rsidRPr="004567E2">
              <w:t>connected to the HN</w:t>
            </w:r>
            <w:r w:rsidR="00A11163" w:rsidRPr="004567E2">
              <w:rPr>
                <w:lang w:eastAsia="ja-JP"/>
              </w:rPr>
              <w:t xml:space="preserve"> from the HEMS application.</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pStyle w:val="NormalWeb"/>
              <w:spacing w:before="0" w:beforeAutospacing="0" w:after="0" w:afterAutospacing="0"/>
            </w:pPr>
            <w:hyperlink r:id="rId58" w:history="1">
              <w:r w:rsidR="00A11163" w:rsidRPr="004567E2">
                <w:rPr>
                  <w:rStyle w:val="Hyperlink"/>
                </w:rPr>
                <w:t>Recommendation ITU-T Y.2071 “Framework of a micro energy grid”</w:t>
              </w:r>
            </w:hyperlink>
            <w:r w:rsidR="00A11163" w:rsidRPr="004567E2">
              <w:t xml:space="preserve"> </w:t>
            </w:r>
            <w:r w:rsidR="00A11163" w:rsidRPr="004567E2">
              <w:rPr>
                <w:color w:val="000000"/>
                <w:lang w:eastAsia="ko-KR"/>
              </w:rPr>
              <w:t xml:space="preserve">provides the framework of a micro energy grid </w:t>
            </w:r>
            <w:r w:rsidR="00A11163" w:rsidRPr="004567E2">
              <w:rPr>
                <w:lang w:eastAsia="ko-KR"/>
              </w:rPr>
              <w:t>for interconnected local generation and distribution. After identifying key features and high-level requirements from the concepts of the micro energy grid, this Recommendation provides an architecture overview including the domain model, as well as the reference architecture, and describes control and management services for a micro energy grid. Finally, this Recommendation shows core systems and components for a micro energy grid.</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pStyle w:val="NormalWeb"/>
              <w:spacing w:before="0" w:beforeAutospacing="0" w:after="0" w:afterAutospacing="0"/>
            </w:pPr>
            <w:hyperlink r:id="rId59" w:history="1">
              <w:r w:rsidR="00A11163" w:rsidRPr="004567E2">
                <w:rPr>
                  <w:rStyle w:val="Hyperlink"/>
                </w:rPr>
                <w:t>Recommendation ITU-T Y.2072 “Framework of Energy Sharing and Trading Platform”</w:t>
              </w:r>
            </w:hyperlink>
            <w:r w:rsidR="00A11163" w:rsidRPr="004567E2">
              <w:t xml:space="preserve"> provides a framework of energy sharing and trading platform for integrated control and management considering energy production, storage and consumption. After identifying key characteristics and core technologies of the platform, it specifies requirements taking into account the energy value chain comprising various stakeholders. Then, it provides architectural overview specifying related interfaces and functional blocks. Finally mechanisms for energy information exchange to support integrated control and management services on the energy sharing and trading platform are described.</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pStyle w:val="NormalWeb"/>
              <w:spacing w:before="0" w:beforeAutospacing="0" w:after="0" w:afterAutospacing="0"/>
              <w:rPr>
                <w:rStyle w:val="Hyperlink"/>
                <w:b/>
                <w:bCs/>
                <w:color w:val="auto"/>
                <w:u w:val="none"/>
              </w:rPr>
            </w:pPr>
            <w:hyperlink r:id="rId60" w:history="1">
              <w:r w:rsidR="00A11163" w:rsidRPr="004567E2">
                <w:rPr>
                  <w:rStyle w:val="Hyperlink"/>
                </w:rPr>
                <w:t>Recommendation ITU-T Y.3021 “Framework of energy saving for future networks”</w:t>
              </w:r>
            </w:hyperlink>
            <w:r w:rsidR="00A11163" w:rsidRPr="004567E2">
              <w:t xml:space="preserve"> describes the framework of energy saving for future networks (FNs). It first describes the need for energy saving within networks themselves, and reviews potential energy-saving technologies. The Recommendation then identifies major functions and their cyclic interactions, analyses the possible impact of introducing </w:t>
            </w:r>
            <w:r w:rsidR="00A11163" w:rsidRPr="004567E2">
              <w:lastRenderedPageBreak/>
              <w:t>certain energy-saving technologies and itemizes the high-level requirements for introducing such technologies.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pStyle w:val="NormalWeb"/>
              <w:spacing w:before="0" w:beforeAutospacing="0" w:after="0" w:afterAutospacing="0"/>
              <w:rPr>
                <w:rStyle w:val="Hyperlink"/>
                <w:b/>
                <w:bCs/>
                <w:color w:val="auto"/>
                <w:u w:val="none"/>
              </w:rPr>
            </w:pPr>
            <w:hyperlink r:id="rId61" w:history="1">
              <w:r w:rsidR="00A11163" w:rsidRPr="004567E2">
                <w:rPr>
                  <w:rStyle w:val="Hyperlink"/>
                </w:rPr>
                <w:t>Recommendation ITU-T Y.3022 “Measuring energy in networks”</w:t>
              </w:r>
            </w:hyperlink>
            <w:r w:rsidR="00A11163" w:rsidRPr="004567E2">
              <w:t xml:space="preserve"> describes the measurement of energy in networks and identifies the requirements for energy measurement. Based on this, a reference model, functional architecture, energy efficiency metrics and energy measurement methods are defined. To aid better understanding of energy efficiency metrics, relevant detailed equations are described in the appendices.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62" w:history="1">
              <w:r w:rsidR="00A11163" w:rsidRPr="004567E2">
                <w:rPr>
                  <w:rStyle w:val="Hyperlink"/>
                  <w:rFonts w:ascii="Times New Roman" w:hAnsi="Times New Roman" w:cs="Times New Roman"/>
                  <w:sz w:val="24"/>
                  <w:szCs w:val="24"/>
                </w:rPr>
                <w:t>Recommendation ITU-T G.9901</w:t>
              </w:r>
              <w:r w:rsidR="00A11163" w:rsidRPr="004567E2">
                <w:rPr>
                  <w:rStyle w:val="Hyperlink"/>
                  <w:rFonts w:ascii="Times New Roman" w:hAnsi="Times New Roman" w:cs="Times New Roman"/>
                  <w:b/>
                  <w:bCs/>
                  <w:sz w:val="24"/>
                  <w:szCs w:val="24"/>
                </w:rPr>
                <w:t xml:space="preserve"> “</w:t>
              </w:r>
              <w:r w:rsidR="00A11163" w:rsidRPr="004567E2">
                <w:rPr>
                  <w:rStyle w:val="Hyperlink"/>
                  <w:rFonts w:ascii="Times New Roman" w:hAnsi="Times New Roman" w:cs="Times New Roman"/>
                  <w:sz w:val="24"/>
                  <w:szCs w:val="24"/>
                </w:rPr>
                <w:t>Narrowband orthogonal frequency division multiplexing power line communication transceivers - Power spectral density specification</w:t>
              </w:r>
              <w:r w:rsidR="00A11163" w:rsidRPr="004567E2">
                <w:rPr>
                  <w:rStyle w:val="Hyperlink"/>
                  <w:rFonts w:ascii="Times New Roman" w:hAnsi="Times New Roman" w:cs="Times New Roman"/>
                  <w:b/>
                  <w:bCs/>
                  <w:sz w:val="24"/>
                  <w:szCs w:val="24"/>
                </w:rPr>
                <w:t>”</w:t>
              </w:r>
            </w:hyperlink>
            <w:r w:rsidR="00A11163" w:rsidRPr="004567E2">
              <w:rPr>
                <w:rFonts w:ascii="Times New Roman" w:hAnsi="Times New Roman" w:cs="Times New Roman"/>
                <w:b/>
                <w:bCs/>
                <w:sz w:val="24"/>
                <w:szCs w:val="24"/>
              </w:rPr>
              <w:t xml:space="preserve"> </w:t>
            </w:r>
            <w:r w:rsidR="00A11163" w:rsidRPr="004567E2">
              <w:rPr>
                <w:rFonts w:ascii="Times New Roman" w:hAnsi="Times New Roman" w:cs="Times New Roman"/>
                <w:sz w:val="24"/>
                <w:szCs w:val="24"/>
              </w:rPr>
              <w:t>specifies the control parameters that determine spectral content, power spectral density (PSD) mask requirements, a set of tools to support the reduction of the transmit PSD, the means to measure this PSD for transmission over power line wiring, as well as the allowable total transmit power into a specified termination impedance. It complements the system architecture, physical layer (PHY) and data link layer (DLL) specifications in Recommendations ITU</w:t>
            </w:r>
            <w:r w:rsidR="00A11163" w:rsidRPr="004567E2">
              <w:rPr>
                <w:rFonts w:ascii="Times New Roman" w:hAnsi="Times New Roman" w:cs="Times New Roman"/>
                <w:sz w:val="24"/>
                <w:szCs w:val="24"/>
              </w:rPr>
              <w:noBreakHyphen/>
              <w:t>T G.9902 (G.hnem), ITU-T G.9903 (G3-PLC) and ITU-T G.9904 (PRIME).</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pStyle w:val="NormalWeb"/>
              <w:spacing w:before="0" w:beforeAutospacing="0" w:after="0" w:afterAutospacing="0"/>
            </w:pPr>
            <w:hyperlink r:id="rId63" w:history="1">
              <w:r w:rsidR="00A11163" w:rsidRPr="004567E2">
                <w:rPr>
                  <w:rStyle w:val="Hyperlink"/>
                </w:rPr>
                <w:t>Recommendation ITU-T G.9902 “Narrowband orthogonal frequency division multiplexing power line communication transceivers for ITU-T G.hnem networks</w:t>
              </w:r>
              <w:r w:rsidR="00A11163" w:rsidRPr="004567E2">
                <w:rPr>
                  <w:rStyle w:val="Hyperlink"/>
                  <w:b/>
                  <w:bCs/>
                </w:rPr>
                <w:t>”</w:t>
              </w:r>
            </w:hyperlink>
            <w:r w:rsidR="00A11163" w:rsidRPr="004567E2">
              <w:rPr>
                <w:b/>
                <w:bCs/>
              </w:rPr>
              <w:t xml:space="preserve"> </w:t>
            </w:r>
            <w:r w:rsidR="00A11163" w:rsidRPr="004567E2">
              <w:t>contains the physical layer (PHY) and the data link layer (DLL) specifications for the ITU-T G.9902 narrowband orthogonal frequency division multiplexing (OFDM) power line communication transceivers, operating over alternating current and direct current electric power lines over frequencies below 500 kHz.</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pStyle w:val="NormalWeb"/>
              <w:spacing w:before="0" w:beforeAutospacing="0" w:after="0" w:afterAutospacing="0"/>
            </w:pPr>
            <w:hyperlink r:id="rId64" w:history="1">
              <w:r w:rsidR="00A11163" w:rsidRPr="004567E2">
                <w:rPr>
                  <w:rStyle w:val="Hyperlink"/>
                </w:rPr>
                <w:t>Recommendation ITU-T G.9903 “Narrowband orthogonal frequency division multiplexing power line communication transceivers for G3-PLC networks”</w:t>
              </w:r>
            </w:hyperlink>
            <w:r w:rsidR="00A11163" w:rsidRPr="004567E2">
              <w:t xml:space="preserve"> contains the physical layer (PHY) and data link layer (DLL) specification for the G3</w:t>
            </w:r>
            <w:r w:rsidR="00A11163" w:rsidRPr="004567E2">
              <w:noBreakHyphen/>
              <w:t>PLC narrowband orthogonal frequency division multiplexing (OFDM) power line communication transceivers for communications via alternating current and direct current electric power lines over frequencies below 500 kHz.</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lastRenderedPageBreak/>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pStyle w:val="NormalWeb"/>
              <w:spacing w:before="0" w:beforeAutospacing="0" w:after="0" w:afterAutospacing="0"/>
              <w:rPr>
                <w:rStyle w:val="Hyperlink"/>
                <w:color w:val="auto"/>
                <w:u w:val="none"/>
              </w:rPr>
            </w:pPr>
            <w:hyperlink r:id="rId65" w:history="1">
              <w:r w:rsidR="00A11163" w:rsidRPr="004567E2">
                <w:rPr>
                  <w:rStyle w:val="Hyperlink"/>
                </w:rPr>
                <w:t>Recommendation ITU-T G.9904 “Narrowband orthogonal frequency division multiplexing power line communication transceivers for PRIME networks”</w:t>
              </w:r>
            </w:hyperlink>
            <w:r w:rsidR="00A11163" w:rsidRPr="004567E2">
              <w:t xml:space="preserve"> contains the physical layer (PHY) and data link layer (DLL) specification for PRIME narrowband orthogonal frequency division multiplexing (OFDM) power line communication transceivers for communications via alternating current and direct current electric power lines over frequencies in the CENELEC A band.</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66" w:history="1">
              <w:r w:rsidR="00A11163" w:rsidRPr="004567E2">
                <w:rPr>
                  <w:rStyle w:val="Hyperlink"/>
                  <w:rFonts w:ascii="Times New Roman" w:hAnsi="Times New Roman" w:cs="Times New Roman"/>
                  <w:sz w:val="24"/>
                  <w:szCs w:val="24"/>
                </w:rPr>
                <w:t>Recommendation ITU-T F.747.9 “Requirements and architecture for energy management services”</w:t>
              </w:r>
            </w:hyperlink>
            <w:r w:rsidR="00A11163" w:rsidRPr="004567E2">
              <w:rPr>
                <w:rFonts w:ascii="Times New Roman" w:hAnsi="Times New Roman" w:cs="Times New Roman"/>
                <w:sz w:val="24"/>
                <w:szCs w:val="24"/>
              </w:rPr>
              <w:t xml:space="preserve"> describes requirements, scenarios and functional architecture for user-side energy Management Service (EMS) where energy consumption equipment with heterogeneous metering and control capacities coexist, and helps making energy-saving decisions based on multiple factors, such as the demands and optimization policies from the users, the pricing strategies from the suppliers, government subsidies, device status et al.</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67" w:tooltip="Requirements and architecture of the home energy management system and home network services" w:history="1">
              <w:r w:rsidR="00A11163" w:rsidRPr="004567E2">
                <w:rPr>
                  <w:rStyle w:val="Hyperlink"/>
                  <w:rFonts w:ascii="Times New Roman" w:hAnsi="Times New Roman" w:cs="Times New Roman"/>
                  <w:sz w:val="24"/>
                  <w:szCs w:val="24"/>
                </w:rPr>
                <w:t>Recommendation ITU-T Y.4409/Y.2070 “Requirements and architecture of the home energy management system and home network services”</w:t>
              </w:r>
            </w:hyperlink>
            <w:r w:rsidR="00A11163" w:rsidRPr="004567E2">
              <w:rPr>
                <w:rFonts w:ascii="Times New Roman" w:hAnsi="Times New Roman" w:cs="Times New Roman"/>
                <w:sz w:val="24"/>
                <w:szCs w:val="24"/>
              </w:rPr>
              <w:t xml:space="preserve"> provides the requirements and architecture of the home energy management system (HEMS) and home network (HN) services. The HEMS supports energy efficiency and reduction of energy consumption by monitoring and controlling devices such as home appliances, storage batteries and sensors connected to the HN from the HEMS application.</w:t>
            </w:r>
            <w:r w:rsidR="00A11163" w:rsidRPr="004567E2">
              <w:rPr>
                <w:rFonts w:ascii="Times New Roman" w:hAnsi="Times New Roman" w:cs="Times New Roman"/>
                <w:sz w:val="24"/>
                <w:szCs w:val="24"/>
              </w:rPr>
              <w:br/>
              <w:t>While the algorithm for the energy efficiency and reduction of energy consumption runs in the HEMS application, the development of a platform (PF) is desired which provides common functions to enable the application to access the devices and to support the efficient development of applications. This is not only applies for the HEMS, but also for other HN services such as home security and healthcare. This Recommendation provides common requirements for the HN services to support the HEMS as the widely known HEMS is mainly considered one of the HN services. It also describes the reference architecture and the functional architecture including the functional relationship for the HEMS and the other HN services.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7.a,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lastRenderedPageBreak/>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SG3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68" w:history="1">
              <w:r w:rsidR="00A11163" w:rsidRPr="004567E2">
                <w:rPr>
                  <w:rStyle w:val="Hyperlink"/>
                  <w:rFonts w:ascii="Times New Roman" w:hAnsi="Times New Roman" w:cs="Times New Roman"/>
                  <w:sz w:val="24"/>
                  <w:szCs w:val="24"/>
                </w:rPr>
                <w:t>Recommendation ITU-T D.52 “Establishing and connecting Regional IXPs to reduce costs of international Internet connectivity”</w:t>
              </w:r>
            </w:hyperlink>
            <w:r w:rsidR="00A11163" w:rsidRPr="004567E2">
              <w:rPr>
                <w:rFonts w:ascii="Times New Roman" w:hAnsi="Times New Roman" w:cs="Times New Roman"/>
                <w:sz w:val="24"/>
                <w:szCs w:val="24"/>
              </w:rPr>
              <w:t xml:space="preserve"> guides regional collaboration to establish central hubs or Internet exchange points (IXPs) that enable local Internet traffic to be routed locally, saving international bandwidth and reducing the costs of international Internet connectivity.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8.2, 9.1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SG3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69" w:history="1">
              <w:r w:rsidR="00A11163" w:rsidRPr="004567E2">
                <w:rPr>
                  <w:rStyle w:val="Hyperlink"/>
                  <w:rFonts w:ascii="Times New Roman" w:hAnsi="Times New Roman" w:cs="Times New Roman"/>
                  <w:sz w:val="24"/>
                  <w:szCs w:val="24"/>
                </w:rPr>
                <w:t>Recommendation ITU-T D.261 "Principles for market definition and identification of operators with significant market power"</w:t>
              </w:r>
            </w:hyperlink>
            <w:r w:rsidR="00A11163" w:rsidRPr="004567E2">
              <w:rPr>
                <w:rFonts w:ascii="Times New Roman" w:hAnsi="Times New Roman" w:cs="Times New Roman"/>
                <w:sz w:val="24"/>
                <w:szCs w:val="24"/>
              </w:rPr>
              <w:t xml:space="preserve"> proposes principles and guidelines to assist countries in defining and identifying significant market power and assess whether or not, and the degree to which, this power has been abused by international telecommunications companies.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8.2, 9.1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SG3 results</w:t>
            </w:r>
          </w:p>
        </w:tc>
        <w:tc>
          <w:tcPr>
            <w:tcW w:w="8278" w:type="dxa"/>
          </w:tcPr>
          <w:p w:rsidR="00A11163" w:rsidRPr="004567E2" w:rsidRDefault="00A11163" w:rsidP="00A11163">
            <w:pPr>
              <w:rPr>
                <w:rFonts w:ascii="Times New Roman" w:hAnsi="Times New Roman" w:cs="Times New Roman"/>
                <w:bCs/>
                <w:color w:val="000000"/>
                <w:sz w:val="24"/>
                <w:szCs w:val="24"/>
              </w:rPr>
            </w:pPr>
            <w:r w:rsidRPr="004567E2">
              <w:rPr>
                <w:rStyle w:val="Hyperlink"/>
                <w:rFonts w:ascii="Times New Roman" w:hAnsi="Times New Roman" w:cs="Times New Roman"/>
                <w:color w:val="auto"/>
                <w:sz w:val="24"/>
                <w:szCs w:val="24"/>
                <w:u w:val="none"/>
              </w:rPr>
              <w:t>Recommendation ITU-T D.198 "Principles for unified format of price/tariffs/rates-lists used for exchanging telephone traffic" (under approval) recognizes the right of any operator to present price/tariffs/rates charged for telecommunications services in any form deemed convenient for the operator, and recommends that telecommunications companies offering international connections/exchange of traffic make use as far as possible of the same templates/forms/format of data to represent traffic destinations and offered price/tariffs/rates including if required optional clarifying information or quality of service criteria.</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8.2, 9.1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SG3 results</w:t>
            </w:r>
          </w:p>
        </w:tc>
        <w:tc>
          <w:tcPr>
            <w:tcW w:w="8278" w:type="dxa"/>
          </w:tcPr>
          <w:p w:rsidR="00A11163" w:rsidRPr="004567E2" w:rsidRDefault="00A11163" w:rsidP="00A11163">
            <w:pPr>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Recommendation ITU-T D.262 "Collaborative Framework for OTTs" (under approval) provides a collaborative framework in order to promote competition, consumer protection, consumer benefits, dynamic innovation, sustainable investment and infrastructure development, accessibility and affordability in relation to the global growth of the Over the Top (OTT) applications.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8.2, 9.1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SG3 results</w:t>
            </w:r>
          </w:p>
        </w:tc>
        <w:tc>
          <w:tcPr>
            <w:tcW w:w="8278" w:type="dxa"/>
          </w:tcPr>
          <w:p w:rsidR="00A11163" w:rsidRPr="004567E2" w:rsidRDefault="00A11163" w:rsidP="00A11163">
            <w:pPr>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Recommendation ITU-T D.263 "Costs, Charges and Competition for Mobile Financial Services (MFS)" (under approval) proposes a possible approach to reduce high retail and wholesale telecommunication charges related to mobile financial service (MFS).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C2, C6</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8.2, 9.1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SG3 results</w:t>
            </w:r>
          </w:p>
        </w:tc>
        <w:tc>
          <w:tcPr>
            <w:tcW w:w="8278" w:type="dxa"/>
          </w:tcPr>
          <w:p w:rsidR="00A11163" w:rsidRPr="004567E2" w:rsidRDefault="007835EF" w:rsidP="00A11163">
            <w:pPr>
              <w:rPr>
                <w:rFonts w:ascii="Times New Roman" w:hAnsi="Times New Roman" w:cs="Times New Roman"/>
                <w:sz w:val="24"/>
                <w:szCs w:val="24"/>
              </w:rPr>
            </w:pPr>
            <w:hyperlink r:id="rId70" w:history="1">
              <w:r w:rsidR="00A11163" w:rsidRPr="004567E2">
                <w:rPr>
                  <w:rStyle w:val="Hyperlink"/>
                  <w:rFonts w:ascii="Times New Roman" w:hAnsi="Times New Roman" w:cs="Times New Roman"/>
                  <w:sz w:val="24"/>
                  <w:szCs w:val="24"/>
                </w:rPr>
                <w:t>Recommendation ITU-T D.271 "Charging and accounting principles for Next-Generation Network (NGN)"</w:t>
              </w:r>
            </w:hyperlink>
            <w:r w:rsidR="00A11163" w:rsidRPr="004567E2">
              <w:rPr>
                <w:rFonts w:ascii="Times New Roman" w:hAnsi="Times New Roman" w:cs="Times New Roman"/>
                <w:sz w:val="24"/>
                <w:szCs w:val="24"/>
              </w:rPr>
              <w:t xml:space="preserve"> sets out the general principles and conditions </w:t>
            </w:r>
            <w:r w:rsidR="00A11163" w:rsidRPr="004567E2">
              <w:rPr>
                <w:rFonts w:ascii="Times New Roman" w:hAnsi="Times New Roman" w:cs="Times New Roman"/>
                <w:sz w:val="24"/>
                <w:szCs w:val="24"/>
              </w:rPr>
              <w:lastRenderedPageBreak/>
              <w:t>applicable to the use of packet-based networks to transport packets between standards-based interfaces and the services that they support.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8.2, 9.1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SG3 results</w:t>
            </w:r>
          </w:p>
        </w:tc>
        <w:tc>
          <w:tcPr>
            <w:tcW w:w="8278" w:type="dxa"/>
          </w:tcPr>
          <w:p w:rsidR="00A11163" w:rsidRPr="004567E2" w:rsidRDefault="007835EF" w:rsidP="00A11163">
            <w:pPr>
              <w:rPr>
                <w:rFonts w:ascii="Times New Roman" w:hAnsi="Times New Roman" w:cs="Times New Roman"/>
                <w:sz w:val="24"/>
                <w:szCs w:val="24"/>
              </w:rPr>
            </w:pPr>
            <w:hyperlink r:id="rId71" w:history="1">
              <w:r w:rsidR="00A11163" w:rsidRPr="004567E2">
                <w:rPr>
                  <w:rStyle w:val="Hyperlink"/>
                  <w:rFonts w:ascii="Times New Roman" w:hAnsi="Times New Roman" w:cs="Times New Roman"/>
                  <w:sz w:val="24"/>
                  <w:szCs w:val="24"/>
                </w:rPr>
                <w:t>Recommendation ITU-T D.97 "Methodological principles for determining international mobile roaming rates"</w:t>
              </w:r>
            </w:hyperlink>
            <w:r w:rsidR="00A11163" w:rsidRPr="004567E2">
              <w:rPr>
                <w:rFonts w:ascii="Times New Roman" w:hAnsi="Times New Roman" w:cs="Times New Roman"/>
                <w:sz w:val="24"/>
                <w:szCs w:val="24"/>
              </w:rPr>
              <w:t xml:space="preserve"> proposes a possible approach to the reduction of excessive roaming rates, highlighting the need to encourage competition in the roaming market, educate consumers and consider appropriate regulatory actions such as the introduction of caps on roaming rates.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8.2, 9.1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SG3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72" w:history="1">
              <w:r w:rsidR="00A11163" w:rsidRPr="004567E2">
                <w:rPr>
                  <w:rStyle w:val="Hyperlink"/>
                  <w:rFonts w:ascii="Times New Roman" w:hAnsi="Times New Roman" w:cs="Times New Roman"/>
                  <w:sz w:val="24"/>
                  <w:szCs w:val="24"/>
                </w:rPr>
                <w:t>Technical Report “Economic impact of OTTs”</w:t>
              </w:r>
            </w:hyperlink>
            <w:r w:rsidR="00A11163" w:rsidRPr="004567E2">
              <w:rPr>
                <w:rFonts w:ascii="Times New Roman" w:hAnsi="Times New Roman" w:cs="Times New Roman"/>
                <w:sz w:val="24"/>
                <w:szCs w:val="24"/>
              </w:rPr>
              <w:t xml:space="preserve"> seeks to provide technical and policy background to the international community in both developed and developing countries as to the nature and implications of Over-the-Top (OTT) and related online services.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C4, C7, C2, C6</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8.2, 9.1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A11163" w:rsidP="00A11163">
            <w:pPr>
              <w:widowControl w:val="0"/>
              <w:rPr>
                <w:rFonts w:ascii="Times New Roman" w:hAnsi="Times New Roman" w:cs="Times New Roman"/>
                <w:sz w:val="24"/>
                <w:szCs w:val="24"/>
              </w:rPr>
            </w:pPr>
            <w:r w:rsidRPr="004567E2">
              <w:rPr>
                <w:rFonts w:ascii="Times New Roman" w:hAnsi="Times New Roman" w:cs="Times New Roman"/>
                <w:sz w:val="24"/>
                <w:szCs w:val="24"/>
              </w:rPr>
              <w:t>Establishment of ITU-T Focus Group on IMT-2020 by SG13</w:t>
            </w:r>
          </w:p>
          <w:p w:rsidR="00A11163" w:rsidRPr="004567E2" w:rsidRDefault="00A11163" w:rsidP="00A11163">
            <w:pPr>
              <w:pStyle w:val="NormalWeb"/>
              <w:spacing w:before="0" w:beforeAutospacing="0" w:after="0" w:afterAutospacing="0"/>
              <w:rPr>
                <w:lang w:val="en-GB"/>
              </w:rPr>
            </w:pPr>
            <w:r w:rsidRPr="004567E2">
              <w:rPr>
                <w:lang w:val="en-GB"/>
              </w:rPr>
              <w:t xml:space="preserve">The </w:t>
            </w:r>
            <w:hyperlink r:id="rId73" w:history="1">
              <w:r w:rsidRPr="004567E2">
                <w:rPr>
                  <w:rStyle w:val="Hyperlink"/>
                  <w:lang w:val="en-GB"/>
                </w:rPr>
                <w:t>ITU-T Focus Group on network aspects of IMT-2020 (‘5G’)</w:t>
              </w:r>
            </w:hyperlink>
            <w:r w:rsidRPr="004567E2">
              <w:rPr>
                <w:lang w:val="en-GB"/>
              </w:rPr>
              <w:t xml:space="preserve"> was established in May 2015 to analyze how emerging 5G technologies will interact in future networks. The group has undertaken in-depth studies into network softwarization and slicing, 5G architecture and fixed-mobile convergence, end-to-end network management, information-centric networking, and related open-source innovation. The Focus Group’s vision of the 5G era is of a highly dynamic ICT industry characterized by the entrance of new players to the networking business and new opportunities for telecoms companies. The approach to year 2020 will play host to the emergence of new business models capitalizing on the transformative effects of softwarization and the associated convergence of open-source and telecoms communities.</w:t>
            </w:r>
          </w:p>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sz w:val="24"/>
                <w:szCs w:val="24"/>
              </w:rPr>
              <w:t xml:space="preserve">The group held its final meeting in Geneva, 5-9 December, hosting a </w:t>
            </w:r>
            <w:hyperlink r:id="rId74" w:history="1">
              <w:r w:rsidRPr="004567E2">
                <w:rPr>
                  <w:rStyle w:val="Hyperlink"/>
                  <w:rFonts w:ascii="Times New Roman" w:hAnsi="Times New Roman" w:cs="Times New Roman"/>
                  <w:sz w:val="24"/>
                  <w:szCs w:val="24"/>
                </w:rPr>
                <w:t>workshop and demo day</w:t>
              </w:r>
            </w:hyperlink>
            <w:r w:rsidRPr="004567E2">
              <w:rPr>
                <w:rFonts w:ascii="Times New Roman" w:hAnsi="Times New Roman" w:cs="Times New Roman"/>
                <w:sz w:val="24"/>
                <w:szCs w:val="24"/>
              </w:rPr>
              <w:t xml:space="preserve"> on 7 December 2016 to showcase networking innovations to support the diverse range of envisioned 5G use cases, use cases which span from automated driving to industrial robotics and tele-surgery. The FG IMT2020 has concluded its preliminary study into the networking innovations required to achieve the ambitious performance targets of smart 5G systems.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C2, C4, C6,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8.2, 9.1</w:t>
            </w:r>
            <w:r w:rsidRPr="004567E2">
              <w:rPr>
                <w:rFonts w:ascii="Times New Roman" w:hAnsi="Times New Roman" w:cs="Times New Roman"/>
                <w:sz w:val="24"/>
                <w:szCs w:val="24"/>
              </w:rPr>
              <w:t>, 17.6, 17.16, 17.17</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lastRenderedPageBreak/>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eastAsia="Batang" w:hAnsi="Times New Roman" w:cs="Times New Roman"/>
                <w:sz w:val="24"/>
                <w:szCs w:val="24"/>
              </w:rPr>
              <w:t xml:space="preserve">The </w:t>
            </w:r>
            <w:hyperlink r:id="rId75" w:history="1">
              <w:r w:rsidRPr="004567E2">
                <w:rPr>
                  <w:rStyle w:val="Hyperlink"/>
                  <w:rFonts w:ascii="Times New Roman" w:eastAsia="Batang" w:hAnsi="Times New Roman" w:cs="Times New Roman"/>
                  <w:sz w:val="24"/>
                  <w:szCs w:val="24"/>
                </w:rPr>
                <w:t xml:space="preserve">ITU-T </w:t>
              </w:r>
              <w:r w:rsidRPr="004567E2">
                <w:rPr>
                  <w:rStyle w:val="Hyperlink"/>
                  <w:rFonts w:ascii="Times New Roman" w:eastAsia="Batang" w:hAnsi="Times New Roman" w:cs="Times New Roman"/>
                  <w:bCs/>
                  <w:sz w:val="24"/>
                  <w:szCs w:val="24"/>
                </w:rPr>
                <w:t>Joint Coordination Activity on IMT-2020 (JCA-IMT2020)</w:t>
              </w:r>
            </w:hyperlink>
            <w:r w:rsidRPr="004567E2">
              <w:rPr>
                <w:rFonts w:ascii="Times New Roman" w:eastAsia="Batang" w:hAnsi="Times New Roman" w:cs="Times New Roman"/>
                <w:sz w:val="24"/>
                <w:szCs w:val="24"/>
              </w:rPr>
              <w:t xml:space="preserve"> coordinates the ITU-T IMT2020 standardization work with focus on non-radio aspects within ITU-T and coordination of the communication with standards development organizations, consortia and forums also working on IMT2020 related standards. JCA-IMT2020 </w:t>
            </w:r>
            <w:r w:rsidRPr="004567E2">
              <w:rPr>
                <w:rFonts w:ascii="Times New Roman" w:eastAsia="MS Mincho" w:hAnsi="Times New Roman" w:cs="Times New Roman"/>
                <w:sz w:val="24"/>
                <w:szCs w:val="24"/>
                <w:lang w:val="pt-BR"/>
              </w:rPr>
              <w:t>will ensure that the ITU-T IMT2020 standardization work with focus on non-radio aspects is progressed in a well-coordinated manner among relevant study groups, in particular, Study Group 2 on Network Management, Study Group 11 on protocols and interoperability, Study Group 12 on QoS, Study Group 15 on transport, fronthaul/ backhaul and Study Group 17 on security.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C2, C4, C6,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8.2</w:t>
            </w:r>
            <w:r w:rsidRPr="004567E2">
              <w:rPr>
                <w:rFonts w:ascii="Times New Roman" w:hAnsi="Times New Roman" w:cs="Times New Roman"/>
                <w:sz w:val="24"/>
                <w:szCs w:val="24"/>
              </w:rPr>
              <w:t>, 17.6, 17.16, 17.17</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A11163" w:rsidP="00A11163">
            <w:pPr>
              <w:rPr>
                <w:rFonts w:ascii="Times New Roman" w:eastAsia="Batang" w:hAnsi="Times New Roman" w:cs="Times New Roman"/>
                <w:sz w:val="24"/>
                <w:szCs w:val="24"/>
              </w:rPr>
            </w:pPr>
            <w:r w:rsidRPr="004567E2">
              <w:rPr>
                <w:rFonts w:ascii="Times New Roman" w:hAnsi="Times New Roman" w:cs="Times New Roman"/>
                <w:sz w:val="24"/>
                <w:szCs w:val="24"/>
              </w:rPr>
              <w:t xml:space="preserve">The </w:t>
            </w:r>
            <w:hyperlink r:id="rId76" w:history="1">
              <w:r w:rsidRPr="004567E2">
                <w:rPr>
                  <w:rStyle w:val="Hyperlink"/>
                  <w:rFonts w:ascii="Times New Roman" w:hAnsi="Times New Roman" w:cs="Times New Roman"/>
                  <w:sz w:val="24"/>
                  <w:szCs w:val="24"/>
                </w:rPr>
                <w:t>cloud computing roadmap</w:t>
              </w:r>
            </w:hyperlink>
            <w:r w:rsidRPr="004567E2">
              <w:rPr>
                <w:rFonts w:ascii="Times New Roman" w:hAnsi="Times New Roman" w:cs="Times New Roman"/>
                <w:sz w:val="24"/>
                <w:szCs w:val="24"/>
              </w:rPr>
              <w:t>, maintained by ITU-T SG13, lists and points to cloud computing standardisation efforts deliverables across telco/IT industry.</w:t>
            </w:r>
          </w:p>
        </w:tc>
        <w:tc>
          <w:tcPr>
            <w:tcW w:w="896"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r w:rsidRPr="004567E2">
              <w:rPr>
                <w:rFonts w:ascii="Times New Roman" w:hAnsi="Times New Roman" w:cs="Times New Roman"/>
                <w:sz w:val="24"/>
                <w:szCs w:val="24"/>
              </w:rPr>
              <w:t>, 17.6, 17.16, 17.17</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7835EF" w:rsidRDefault="00A11163" w:rsidP="00A11163">
            <w:pPr>
              <w:rPr>
                <w:rFonts w:ascii="Times New Roman" w:hAnsi="Times New Roman" w:cs="Times New Roman"/>
                <w:bCs/>
                <w:color w:val="000000"/>
                <w:sz w:val="24"/>
                <w:szCs w:val="24"/>
                <w:lang w:val="fr-CH"/>
              </w:rPr>
            </w:pPr>
            <w:r w:rsidRPr="007835EF">
              <w:rPr>
                <w:rFonts w:ascii="Times New Roman" w:hAnsi="Times New Roman" w:cs="Times New Roman"/>
                <w:bCs/>
                <w:color w:val="000000"/>
                <w:sz w:val="24"/>
                <w:szCs w:val="24"/>
                <w:lang w:val="fr-CH"/>
              </w:rPr>
              <w:t>ITU-T SG13 FG-IMT2020 results</w:t>
            </w:r>
          </w:p>
        </w:tc>
        <w:tc>
          <w:tcPr>
            <w:tcW w:w="8278" w:type="dxa"/>
          </w:tcPr>
          <w:p w:rsidR="00A11163" w:rsidRPr="004567E2" w:rsidRDefault="00A11163" w:rsidP="00A11163">
            <w:pPr>
              <w:pStyle w:val="NormalWeb"/>
              <w:spacing w:before="0" w:beforeAutospacing="0" w:after="0" w:afterAutospacing="0"/>
              <w:rPr>
                <w:lang w:val="en-GB"/>
              </w:rPr>
            </w:pPr>
            <w:r w:rsidRPr="004567E2">
              <w:rPr>
                <w:lang w:val="en-GB"/>
              </w:rPr>
              <w:t xml:space="preserve">The FG-IMT2020’s </w:t>
            </w:r>
            <w:hyperlink r:id="rId77" w:history="1">
              <w:r w:rsidRPr="004567E2">
                <w:rPr>
                  <w:rStyle w:val="Hyperlink"/>
                  <w:lang w:val="en-GB"/>
                </w:rPr>
                <w:t>output</w:t>
              </w:r>
            </w:hyperlink>
            <w:r w:rsidRPr="004567E2">
              <w:rPr>
                <w:lang w:val="en-GB"/>
              </w:rPr>
              <w:t xml:space="preserve"> takes the form of five draft ITU international standards and four draft ITU technical reports to drive related work in ITU-T Study Groups.</w:t>
            </w:r>
          </w:p>
          <w:p w:rsidR="00A11163" w:rsidRPr="004567E2" w:rsidRDefault="00A11163" w:rsidP="00A11163">
            <w:pPr>
              <w:pStyle w:val="NormalWeb"/>
              <w:spacing w:before="0" w:beforeAutospacing="0" w:after="0" w:afterAutospacing="0"/>
              <w:rPr>
                <w:lang w:val="en-GB"/>
              </w:rPr>
            </w:pPr>
            <w:r w:rsidRPr="004567E2">
              <w:rPr>
                <w:rStyle w:val="Hyperlink"/>
                <w:color w:val="auto"/>
                <w:u w:val="none"/>
              </w:rPr>
              <w:t xml:space="preserve">The concluded ITU-T Focus Group on network aspects of IMT-2020 (‘5G’) delivered five draft ITU international standards and four draft ITU technical reports to drive related work in ITU-T Study Groups. They formed basis for publication of the flipbook on 5G. About 13 new work items, largely based on the outcomes of the Focus Group, were initiated in February 2017 covering requirements for IMT-2020 networks and fixed-mobile convergence, IMT-2020 architecture framework, IMT-2020 network management framework, network slicing. First standards on 5G out of these deliverables are Recommendations ITU-T Y.3100, Y.3110, Y.3111 (see below for more details) as well as Y.3100-series Supplement 44 “Standardization and open source activities related to network softwarization of IMT-2020” expected in summer 2017. A new ITU-T Joint Coordination Activity on IMT2020 (ITU-T JCA-IMT2020) is coordinating the ITU-T IMT2020 standardization work with the focus on the non-radio aspects within ITU-T, and is </w:t>
            </w:r>
            <w:r w:rsidRPr="004567E2">
              <w:rPr>
                <w:rStyle w:val="Hyperlink"/>
                <w:color w:val="auto"/>
                <w:u w:val="none"/>
              </w:rPr>
              <w:lastRenderedPageBreak/>
              <w:t>maintaining the roadmap of mobile communication studies and activities across three ITU Sectors.</w:t>
            </w:r>
          </w:p>
        </w:tc>
        <w:tc>
          <w:tcPr>
            <w:tcW w:w="896"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lastRenderedPageBreak/>
              <w:t>C2, C4,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8.2, 9.1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rPr>
                <w:rFonts w:ascii="Times New Roman" w:hAnsi="Times New Roman" w:cs="Times New Roman"/>
                <w:sz w:val="24"/>
                <w:szCs w:val="24"/>
              </w:rPr>
            </w:pPr>
            <w:hyperlink r:id="rId78" w:history="1">
              <w:r w:rsidR="00A11163" w:rsidRPr="004567E2">
                <w:rPr>
                  <w:rStyle w:val="Hyperlink"/>
                  <w:rFonts w:ascii="Times New Roman" w:hAnsi="Times New Roman" w:cs="Times New Roman"/>
                  <w:sz w:val="24"/>
                  <w:szCs w:val="24"/>
                </w:rPr>
                <w:t>Recommendation ITU-T Y.3100 “Terms and definitions for IMT-2020 network”</w:t>
              </w:r>
            </w:hyperlink>
            <w:r w:rsidR="00A11163" w:rsidRPr="004567E2">
              <w:rPr>
                <w:rFonts w:ascii="Times New Roman" w:hAnsi="Times New Roman" w:cs="Times New Roman"/>
                <w:sz w:val="24"/>
                <w:szCs w:val="24"/>
              </w:rPr>
              <w:t xml:space="preserve"> describes essential terms and their definitions for IMT-2020 network to provide a general common understanding for ITU-T IMT-2020 related standard documents. It can be used as a guideline for the further development of IMT-2020 related documents. The terms defined in this Recommendation will constitute a reference for other ITU-T IMT-2020 related standard documents.</w:t>
            </w:r>
          </w:p>
        </w:tc>
        <w:tc>
          <w:tcPr>
            <w:tcW w:w="896"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8.2, 9.1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79" w:history="1">
              <w:r w:rsidR="00A11163" w:rsidRPr="004567E2">
                <w:rPr>
                  <w:rStyle w:val="Hyperlink"/>
                  <w:rFonts w:ascii="Times New Roman" w:hAnsi="Times New Roman" w:cs="Times New Roman"/>
                  <w:sz w:val="24"/>
                  <w:szCs w:val="24"/>
                </w:rPr>
                <w:t>Recommendation ITU-T Y.3101 “Requirements of the IMT-2020 network”</w:t>
              </w:r>
            </w:hyperlink>
            <w:r w:rsidR="00A11163" w:rsidRPr="004567E2">
              <w:rPr>
                <w:rFonts w:ascii="Times New Roman" w:hAnsi="Times New Roman" w:cs="Times New Roman"/>
                <w:sz w:val="24"/>
                <w:szCs w:val="24"/>
              </w:rPr>
              <w:t xml:space="preserve"> describes requirements of the IMT-2020 network. The Recommendation first provides general principles of the IMT-2020 network, then the requirements for overall non-radio aspects of the IMT-2020 network are specified from both service point of view and network operation point of view.</w:t>
            </w:r>
          </w:p>
        </w:tc>
        <w:tc>
          <w:tcPr>
            <w:tcW w:w="896"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8.2, 9.1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80" w:history="1">
              <w:r w:rsidR="00A11163" w:rsidRPr="004567E2">
                <w:rPr>
                  <w:rStyle w:val="Hyperlink"/>
                  <w:rFonts w:ascii="Times New Roman" w:hAnsi="Times New Roman" w:cs="Times New Roman"/>
                  <w:sz w:val="24"/>
                  <w:szCs w:val="24"/>
                </w:rPr>
                <w:t>Recommendation ITU-T Y.3102 “Framework of the IMT-2020 network”</w:t>
              </w:r>
            </w:hyperlink>
            <w:r w:rsidR="00A11163" w:rsidRPr="004567E2">
              <w:rPr>
                <w:rFonts w:ascii="Times New Roman" w:hAnsi="Times New Roman" w:cs="Times New Roman"/>
                <w:sz w:val="24"/>
                <w:szCs w:val="24"/>
              </w:rPr>
              <w:t xml:space="preserve"> provides the framework for overall non-radio aspects of the IMT-2020 network. Following an introduction to the key features of the IMT-2020 network, architectural design considerations and framework of the IMT-2020 network are provided.</w:t>
            </w:r>
          </w:p>
        </w:tc>
        <w:tc>
          <w:tcPr>
            <w:tcW w:w="896"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8.2, 9.1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81" w:history="1">
              <w:r w:rsidR="00A11163" w:rsidRPr="004567E2">
                <w:rPr>
                  <w:rStyle w:val="Hyperlink"/>
                  <w:rFonts w:ascii="Times New Roman" w:hAnsi="Times New Roman" w:cs="Times New Roman"/>
                  <w:sz w:val="24"/>
                  <w:szCs w:val="24"/>
                </w:rPr>
                <w:t>Recommendation ITU-T Y.3103 “Business Role-based Models in IMT-2020”</w:t>
              </w:r>
            </w:hyperlink>
            <w:r w:rsidR="00A11163" w:rsidRPr="004567E2">
              <w:rPr>
                <w:rFonts w:ascii="Times New Roman" w:hAnsi="Times New Roman" w:cs="Times New Roman"/>
                <w:sz w:val="24"/>
                <w:szCs w:val="24"/>
              </w:rPr>
              <w:t xml:space="preserve">  describes business roles, business role-based models and best practice use cases in IMT-2020 from different relevant perspectives. It can be used as a guideline for further IMT-2020 studies from business point of view as well as for deployment and operation of IMT-2020 networks.</w:t>
            </w:r>
          </w:p>
        </w:tc>
        <w:tc>
          <w:tcPr>
            <w:tcW w:w="896"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8.2, 9.1</w:t>
            </w:r>
          </w:p>
        </w:tc>
      </w:tr>
      <w:tr w:rsidR="00A11163" w:rsidRPr="004567E2" w:rsidTr="00A11163">
        <w:tc>
          <w:tcPr>
            <w:tcW w:w="760"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A11163" w:rsidP="00A11163">
            <w:pPr>
              <w:widowControl w:val="0"/>
              <w:rPr>
                <w:rFonts w:ascii="Times New Roman" w:hAnsi="Times New Roman" w:cs="Times New Roman"/>
                <w:sz w:val="24"/>
                <w:szCs w:val="24"/>
              </w:rPr>
            </w:pPr>
            <w:r w:rsidRPr="004567E2">
              <w:rPr>
                <w:rFonts w:ascii="Times New Roman" w:hAnsi="Times New Roman" w:cs="Times New Roman"/>
                <w:sz w:val="24"/>
                <w:szCs w:val="24"/>
              </w:rPr>
              <w:t>Recommendation ITU-T Y.3104 “Architecture of the IMT-2020 network” (under approval) provides the architecture of the IMT-2020 network from a functional perspective. An architecture reference model of the IMT-2020 network and procedures of the IMT-2020 network basic services [ITU-T Y.3102] are specified.</w:t>
            </w:r>
          </w:p>
        </w:tc>
        <w:tc>
          <w:tcPr>
            <w:tcW w:w="896"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A11163" w:rsidP="00A11163">
            <w:pPr>
              <w:widowControl w:val="0"/>
              <w:rPr>
                <w:rFonts w:ascii="Times New Roman" w:hAnsi="Times New Roman" w:cs="Times New Roman"/>
                <w:sz w:val="24"/>
                <w:szCs w:val="24"/>
              </w:rPr>
            </w:pPr>
            <w:r w:rsidRPr="004567E2">
              <w:rPr>
                <w:rFonts w:ascii="Times New Roman" w:hAnsi="Times New Roman" w:cs="Times New Roman"/>
                <w:sz w:val="24"/>
                <w:szCs w:val="24"/>
              </w:rPr>
              <w:t xml:space="preserve">Recommendation ITU-T Y.3105 “Requirements of capability exposure in the IMT-2020 network” (under approval) identifies requirements of capability exposure in the IMT-2020 network. In particular, it provides at first an overview and general </w:t>
            </w:r>
            <w:r w:rsidRPr="004567E2">
              <w:rPr>
                <w:rFonts w:ascii="Times New Roman" w:hAnsi="Times New Roman" w:cs="Times New Roman"/>
                <w:sz w:val="24"/>
                <w:szCs w:val="24"/>
              </w:rPr>
              <w:lastRenderedPageBreak/>
              <w:t>aspects of capability exposure in the IMT-2020 network, and then identifies requirements for the following key network capabilities: network slicing management, edge computing, network data analytics, fixed and mobile convergence, and QoS capabilities. Related scenarios of capability exposure in the IMT-2020 network are provided in Appendix.</w:t>
            </w:r>
          </w:p>
        </w:tc>
        <w:tc>
          <w:tcPr>
            <w:tcW w:w="896"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lastRenderedPageBreak/>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82" w:history="1">
              <w:r w:rsidR="00A11163" w:rsidRPr="004567E2">
                <w:rPr>
                  <w:rStyle w:val="Hyperlink"/>
                  <w:rFonts w:ascii="Times New Roman" w:hAnsi="Times New Roman" w:cs="Times New Roman"/>
                  <w:sz w:val="24"/>
                  <w:szCs w:val="24"/>
                </w:rPr>
                <w:t>Recommendation ITU-T Y.3110 “IMT-2020 Network Management and Orchestration Requirements”</w:t>
              </w:r>
            </w:hyperlink>
            <w:r w:rsidR="00A11163" w:rsidRPr="004567E2">
              <w:rPr>
                <w:rFonts w:ascii="Times New Roman" w:hAnsi="Times New Roman" w:cs="Times New Roman"/>
                <w:sz w:val="24"/>
                <w:szCs w:val="24"/>
              </w:rPr>
              <w:t xml:space="preserve"> describes requirements for network management and orchestration of IMT-2020. It describes high-level and functional requirements. The functional requirements consist of two levels: a) lifecycle management for all slices and b) instance management pertinent to each slice.</w:t>
            </w:r>
          </w:p>
        </w:tc>
        <w:tc>
          <w:tcPr>
            <w:tcW w:w="896"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8.2, 9.1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83" w:history="1">
              <w:r w:rsidR="00A11163" w:rsidRPr="004567E2">
                <w:rPr>
                  <w:rStyle w:val="Hyperlink"/>
                  <w:rFonts w:ascii="Times New Roman" w:hAnsi="Times New Roman" w:cs="Times New Roman"/>
                  <w:sz w:val="24"/>
                  <w:szCs w:val="24"/>
                </w:rPr>
                <w:t>Recommendation ITU-T Y.3111 “IMT-2020 Network Management and Orchestration Framework”</w:t>
              </w:r>
            </w:hyperlink>
            <w:r w:rsidR="00A11163" w:rsidRPr="004567E2">
              <w:rPr>
                <w:rFonts w:ascii="Times New Roman" w:hAnsi="Times New Roman" w:cs="Times New Roman"/>
                <w:sz w:val="24"/>
                <w:szCs w:val="24"/>
              </w:rPr>
              <w:t xml:space="preserve"> provides network management and orchestration architecture and functional components for design, deployment, and operation to implement IMT-2020 network covering fixed and mobile networks.’</w:t>
            </w:r>
          </w:p>
        </w:tc>
        <w:tc>
          <w:tcPr>
            <w:tcW w:w="896"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8.2, 9.1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84" w:history="1">
              <w:r w:rsidR="00A11163" w:rsidRPr="004567E2">
                <w:rPr>
                  <w:rStyle w:val="Hyperlink"/>
                  <w:rFonts w:ascii="Times New Roman" w:hAnsi="Times New Roman" w:cs="Times New Roman"/>
                  <w:sz w:val="24"/>
                  <w:szCs w:val="24"/>
                </w:rPr>
                <w:t>Recommendation ITU-T Y.3112 “Framework for the support of multiple network slicing”</w:t>
              </w:r>
            </w:hyperlink>
            <w:r w:rsidR="00A11163" w:rsidRPr="004567E2">
              <w:rPr>
                <w:rFonts w:ascii="Times New Roman" w:hAnsi="Times New Roman" w:cs="Times New Roman"/>
                <w:sz w:val="24"/>
                <w:szCs w:val="24"/>
              </w:rPr>
              <w:t xml:space="preserve"> describes the concept of network slicing and use cases of multiple network slicing. The multiple network slicing enables a single device to simultaneously connect to different network slices. The use case describes the slice service type for indicating a specific network slice and the slice user group for precisely representing the network slice in terms of performance requirements and business models. This Recommendation also specifies the high-level requirements and high-level architecture for multiple network slicing in IMT-2020 network.</w:t>
            </w:r>
          </w:p>
        </w:tc>
        <w:tc>
          <w:tcPr>
            <w:tcW w:w="896"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8.2, 9.1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85" w:history="1">
              <w:r w:rsidR="00A11163" w:rsidRPr="004567E2">
                <w:rPr>
                  <w:rStyle w:val="Hyperlink"/>
                  <w:rFonts w:ascii="Times New Roman" w:hAnsi="Times New Roman" w:cs="Times New Roman"/>
                  <w:sz w:val="24"/>
                  <w:szCs w:val="24"/>
                </w:rPr>
                <w:t>Recommendation ITU-T Y.3130 “Requirements of IMT-2020 fixed mobile convergence”</w:t>
              </w:r>
            </w:hyperlink>
            <w:r w:rsidR="00A11163" w:rsidRPr="004567E2">
              <w:rPr>
                <w:rFonts w:ascii="Times New Roman" w:hAnsi="Times New Roman" w:cs="Times New Roman"/>
                <w:sz w:val="24"/>
                <w:szCs w:val="24"/>
              </w:rPr>
              <w:t xml:space="preserve"> specifies service related requirements as unified user identity, unified charging, service continuity and guaranteed quality of service support, and network capability requirements as control plane convergence, user data management, capability exposure and cloud based infrastructure, to support fixed mobile convergence in IMT-2020 network.</w:t>
            </w:r>
          </w:p>
        </w:tc>
        <w:tc>
          <w:tcPr>
            <w:tcW w:w="896"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8.2, 9.1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lastRenderedPageBreak/>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86" w:history="1">
              <w:r w:rsidR="00A11163" w:rsidRPr="004567E2">
                <w:rPr>
                  <w:rStyle w:val="Hyperlink"/>
                  <w:rFonts w:ascii="Times New Roman" w:hAnsi="Times New Roman" w:cs="Times New Roman"/>
                  <w:sz w:val="24"/>
                  <w:szCs w:val="24"/>
                </w:rPr>
                <w:t>Recommendation ITU-T Y.3150 “High level technical characteristics of network softwarization for IMT-2020”</w:t>
              </w:r>
            </w:hyperlink>
            <w:r w:rsidR="00A11163" w:rsidRPr="004567E2">
              <w:rPr>
                <w:rFonts w:ascii="Times New Roman" w:hAnsi="Times New Roman" w:cs="Times New Roman"/>
                <w:sz w:val="24"/>
                <w:szCs w:val="24"/>
              </w:rPr>
              <w:t xml:space="preserve"> describes how network softwarization and network slicing contribute to IMT-2020 systems. It explores network slicing from two viewpoints: vertical and horizontal aspects. The Recommendation further describes network slicing for mobile fronthaul/backhaul, introduction to advanced data-plane programmability, and capability exposure. These technical characteristic descriptions are expected to lead to their detailed study.</w:t>
            </w:r>
          </w:p>
        </w:tc>
        <w:tc>
          <w:tcPr>
            <w:tcW w:w="896"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8.2, 9.1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87" w:history="1">
              <w:r w:rsidR="00A11163" w:rsidRPr="004567E2">
                <w:rPr>
                  <w:rStyle w:val="Hyperlink"/>
                  <w:rFonts w:ascii="Times New Roman" w:hAnsi="Times New Roman" w:cs="Times New Roman"/>
                  <w:sz w:val="24"/>
                  <w:szCs w:val="24"/>
                </w:rPr>
                <w:t>Recommendation ITU-T Y.3170 “Requirements of machine learning based QoS assurance for IMT-2020 network”</w:t>
              </w:r>
            </w:hyperlink>
            <w:r w:rsidR="00A11163" w:rsidRPr="004567E2">
              <w:rPr>
                <w:rFonts w:ascii="Times New Roman" w:hAnsi="Times New Roman" w:cs="Times New Roman"/>
                <w:sz w:val="24"/>
                <w:szCs w:val="24"/>
              </w:rPr>
              <w:t xml:space="preserve"> specifies requirements of machine learning based QoS assurance for the international mobile telecommunications 2020 (IMT-2020) network. This recommendation first provides an overview of machine learning based QoS assurance for IMT-2020 network. It includes overview of capabilities for QoS anomaly detection and prediction using machine learning. It then describes a functional model of machine learning based QoS assurance which includes functional components such as QoS data collection, data pre-processing, data storage, modelling and training, QoS anomaly detection and prediction, QoS policy decision making, enforcement and reporting. Based on the capabilities and functionalities described in the functional model, this recommendation specifies the high level requirements and functional requirements of machine learning based QoS assurance for IMT-2020 network.</w:t>
            </w:r>
          </w:p>
        </w:tc>
        <w:tc>
          <w:tcPr>
            <w:tcW w:w="896"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8.2, 9.1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88" w:history="1">
              <w:r w:rsidR="00A11163" w:rsidRPr="004567E2">
                <w:rPr>
                  <w:rStyle w:val="Hyperlink"/>
                  <w:rFonts w:ascii="Times New Roman" w:hAnsi="Times New Roman" w:cs="Times New Roman"/>
                  <w:sz w:val="24"/>
                  <w:szCs w:val="24"/>
                </w:rPr>
                <w:t>ITU-T Y.Suppl.48 to Y.3070-series “Proof-of-Concept for Data Service using Information Centric Networking in IMT-2020”</w:t>
              </w:r>
            </w:hyperlink>
            <w:r w:rsidR="00A11163" w:rsidRPr="004567E2">
              <w:rPr>
                <w:rFonts w:ascii="Times New Roman" w:hAnsi="Times New Roman" w:cs="Times New Roman"/>
                <w:sz w:val="24"/>
                <w:szCs w:val="24"/>
              </w:rPr>
              <w:t xml:space="preserve"> specifies a proof-of-concept for a service that provides named data such as Internet of Things (IoT) named data by information centric networking in IMT-2020. In the Supplement, an enhanced name resolution system is implemented based on distance-constrained containers to resolve from names to addresses more efficiently.</w:t>
            </w:r>
          </w:p>
        </w:tc>
        <w:tc>
          <w:tcPr>
            <w:tcW w:w="896"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8.2, 9.1</w:t>
            </w:r>
          </w:p>
        </w:tc>
      </w:tr>
      <w:tr w:rsidR="00A11163" w:rsidRPr="004567E2" w:rsidTr="00A11163">
        <w:tc>
          <w:tcPr>
            <w:tcW w:w="760"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A11163" w:rsidP="00A11163">
            <w:pPr>
              <w:widowControl w:val="0"/>
              <w:rPr>
                <w:rFonts w:ascii="Times New Roman" w:hAnsi="Times New Roman" w:cs="Times New Roman"/>
                <w:sz w:val="24"/>
                <w:szCs w:val="24"/>
              </w:rPr>
            </w:pPr>
            <w:r w:rsidRPr="004567E2">
              <w:rPr>
                <w:rFonts w:ascii="Times New Roman" w:hAnsi="Times New Roman" w:cs="Times New Roman"/>
                <w:sz w:val="24"/>
                <w:szCs w:val="24"/>
              </w:rPr>
              <w:t xml:space="preserve">Recommendation ITU-T Y.3324 “Requirements and Architectural Framework for Autonomic Management and Control of IMT-2020 Networks” (under approval) specifies high-level and functional requirements and architecture of Autonomic </w:t>
            </w:r>
            <w:r w:rsidRPr="004567E2">
              <w:rPr>
                <w:rFonts w:ascii="Times New Roman" w:hAnsi="Times New Roman" w:cs="Times New Roman"/>
                <w:sz w:val="24"/>
                <w:szCs w:val="24"/>
              </w:rPr>
              <w:lastRenderedPageBreak/>
              <w:t>Management and Control (AMC) for IMT-2020 networks.  It also specifies interworking reference points between AMC and IMT-2020 management and orchestration architecture, and legacy NMS/OSS. In Appendix I, it describes a use case to realize the AMC architecture through ETSI GANA reference model.</w:t>
            </w:r>
          </w:p>
        </w:tc>
        <w:tc>
          <w:tcPr>
            <w:tcW w:w="896"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lastRenderedPageBreak/>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b/>
                <w:bCs/>
                <w:i/>
                <w:iCs/>
                <w:sz w:val="24"/>
                <w:szCs w:val="24"/>
              </w:rPr>
            </w:pPr>
            <w:hyperlink r:id="rId89" w:history="1">
              <w:r w:rsidR="00A11163" w:rsidRPr="004567E2">
                <w:rPr>
                  <w:rStyle w:val="Hyperlink"/>
                  <w:rFonts w:ascii="Times New Roman" w:hAnsi="Times New Roman" w:cs="Times New Roman"/>
                  <w:sz w:val="24"/>
                  <w:szCs w:val="24"/>
                </w:rPr>
                <w:t>Technical Report Standardization of Trust Provisioning Study</w:t>
              </w:r>
            </w:hyperlink>
            <w:r w:rsidR="00A11163" w:rsidRPr="004567E2">
              <w:rPr>
                <w:rFonts w:ascii="Times New Roman" w:hAnsi="Times New Roman" w:cs="Times New Roman"/>
                <w:sz w:val="24"/>
                <w:szCs w:val="24"/>
              </w:rPr>
              <w:t xml:space="preserve"> </w:t>
            </w:r>
            <w:r w:rsidR="00A11163" w:rsidRPr="004567E2">
              <w:rPr>
                <w:rFonts w:ascii="Times New Roman" w:eastAsia="Malgun Gothic" w:hAnsi="Times New Roman" w:cs="Times New Roman"/>
                <w:bCs/>
                <w:sz w:val="24"/>
                <w:szCs w:val="24"/>
                <w:lang w:eastAsia="ko-KR"/>
              </w:rPr>
              <w:t>introduces basic concepts of trust and present various use cases for trust provisioning. And then it provides a strategy for trust provisioning in the ICT infrastructure, services and applications based on trust taxonomy in different domains, and architectural framework for trusted social cyber physical infrastructures and for trust decision making for trustworthy ICT eco-system along with technical details for trust provisioning. Finally this report identifies roadmap and working priority for future standardization in ITU-T based on related standardization activities.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C2, C5</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8.2, 9.1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Style w:val="Hyperlink"/>
                <w:rFonts w:ascii="Times New Roman" w:hAnsi="Times New Roman" w:cs="Times New Roman"/>
                <w:b/>
                <w:bCs/>
                <w:i/>
                <w:iCs/>
                <w:color w:val="auto"/>
                <w:sz w:val="24"/>
                <w:szCs w:val="24"/>
                <w:u w:val="none"/>
              </w:rPr>
            </w:pPr>
            <w:hyperlink r:id="rId90" w:history="1">
              <w:r w:rsidR="00A11163" w:rsidRPr="004567E2">
                <w:rPr>
                  <w:rStyle w:val="Hyperlink"/>
                  <w:rFonts w:ascii="Times New Roman" w:hAnsi="Times New Roman" w:cs="Times New Roman"/>
                  <w:sz w:val="24"/>
                  <w:szCs w:val="24"/>
                </w:rPr>
                <w:t>Technical Report Trust Provisioning for future ICT infrastructures and services</w:t>
              </w:r>
            </w:hyperlink>
            <w:r w:rsidR="00A11163" w:rsidRPr="004567E2">
              <w:rPr>
                <w:rFonts w:ascii="Times New Roman" w:hAnsi="Times New Roman" w:cs="Times New Roman"/>
                <w:sz w:val="24"/>
                <w:szCs w:val="24"/>
              </w:rPr>
              <w:t xml:space="preserve"> </w:t>
            </w:r>
            <w:r w:rsidR="00A11163" w:rsidRPr="004567E2">
              <w:rPr>
                <w:rFonts w:ascii="Times New Roman" w:hAnsi="Times New Roman" w:cs="Times New Roman"/>
                <w:sz w:val="24"/>
                <w:szCs w:val="24"/>
                <w:lang w:bidi="ar-DZ"/>
              </w:rPr>
              <w:t>provides an overview of trust provisioning for future ICT infrastructures and services. It describes the importance and necessity of trust from potential risks toward knowledge societies in terms of ICT and provides the concepts and key features of trust. After identifying key challenges and technical issues, it also presents architectural overview of trusted ICT infrastructures. And then, it introduces trust based ICT service models and summary of use cases, and it proposes strategies for future standardization on trust. The trust related activities in other standardization bodies, backgrounds for ICT service model analysis framework and detailed use cases are also provided in informative appendices.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C2, C5</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8.2, 9.1</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A11163" w:rsidP="00A11163">
            <w:pPr>
              <w:widowControl w:val="0"/>
              <w:rPr>
                <w:rStyle w:val="Hyperlink"/>
                <w:rFonts w:ascii="Times New Roman" w:hAnsi="Times New Roman" w:cs="Times New Roman"/>
                <w:sz w:val="24"/>
                <w:szCs w:val="24"/>
              </w:rPr>
            </w:pPr>
            <w:r w:rsidRPr="004567E2">
              <w:rPr>
                <w:rFonts w:ascii="Times New Roman" w:hAnsi="Times New Roman" w:cs="Times New Roman"/>
                <w:sz w:val="24"/>
                <w:szCs w:val="24"/>
              </w:rPr>
              <w:t xml:space="preserve">The </w:t>
            </w:r>
            <w:hyperlink r:id="rId91" w:history="1">
              <w:r w:rsidRPr="004567E2">
                <w:rPr>
                  <w:rStyle w:val="Hyperlink"/>
                  <w:rFonts w:ascii="Times New Roman" w:hAnsi="Times New Roman" w:cs="Times New Roman"/>
                  <w:color w:val="0000CC"/>
                  <w:sz w:val="24"/>
                  <w:szCs w:val="24"/>
                </w:rPr>
                <w:t>ITU Focus Group on ‘Technologies for Network 2030’ (FG NET-2030)</w:t>
              </w:r>
            </w:hyperlink>
            <w:r w:rsidRPr="004567E2">
              <w:rPr>
                <w:rFonts w:ascii="Times New Roman" w:hAnsi="Times New Roman" w:cs="Times New Roman"/>
                <w:sz w:val="24"/>
                <w:szCs w:val="24"/>
              </w:rPr>
              <w:t xml:space="preserve"> will look at new media, services and architectures to identify communication needs and use cases for the year 2030 and beyond. The Focus Group will create a vision for networks in the year 2030 by drawing on past developments and analyzing emerging technologies. The Focus Group will address questions about new drivers, requirements and gaps to propose use cases for applications including augmented and virtual reality and holograms. The Focus Group will also respond to increasing </w:t>
            </w:r>
            <w:r w:rsidRPr="004567E2">
              <w:rPr>
                <w:rFonts w:ascii="Times New Roman" w:hAnsi="Times New Roman" w:cs="Times New Roman"/>
                <w:sz w:val="24"/>
                <w:szCs w:val="24"/>
              </w:rPr>
              <w:lastRenderedPageBreak/>
              <w:t>user demands for time-sensitive applications.</w:t>
            </w:r>
          </w:p>
        </w:tc>
        <w:tc>
          <w:tcPr>
            <w:tcW w:w="896"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lastRenderedPageBreak/>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r w:rsidRPr="004567E2">
              <w:rPr>
                <w:rFonts w:ascii="Times New Roman" w:hAnsi="Times New Roman" w:cs="Times New Roman"/>
                <w:sz w:val="24"/>
                <w:szCs w:val="24"/>
              </w:rPr>
              <w:t>, 17.6, 17.16, 17.17</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eastAsia="Batang" w:hAnsi="Times New Roman" w:cs="Times New Roman"/>
                <w:sz w:val="24"/>
                <w:szCs w:val="24"/>
              </w:rPr>
            </w:pPr>
            <w:hyperlink r:id="rId92" w:tooltip="ITU-T Y.4100-series - Use cases of user-centric work space service" w:history="1">
              <w:r w:rsidR="00A11163" w:rsidRPr="004567E2">
                <w:rPr>
                  <w:rStyle w:val="Hyperlink"/>
                  <w:rFonts w:ascii="Times New Roman" w:hAnsi="Times New Roman" w:cs="Times New Roman"/>
                  <w:sz w:val="24"/>
                  <w:szCs w:val="24"/>
                </w:rPr>
                <w:t>ITU-T Y.Suppl. 42: ITU-T Y.4100-series - Use cases of user-centric work space service</w:t>
              </w:r>
            </w:hyperlink>
            <w:r w:rsidR="00A11163" w:rsidRPr="004567E2">
              <w:rPr>
                <w:rFonts w:ascii="Times New Roman" w:hAnsi="Times New Roman" w:cs="Times New Roman"/>
                <w:sz w:val="24"/>
                <w:szCs w:val="24"/>
              </w:rPr>
              <w:t xml:space="preserve"> provides a description of the UCS concept and its associated enhanced user experience. Also, this Supplement provides use cases of UCS service to illustrate how this service can be implemented.</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C2</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8.2, 9.1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SG20</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pStyle w:val="Default"/>
              <w:rPr>
                <w:rFonts w:ascii="Times New Roman" w:hAnsi="Times New Roman" w:cs="Times New Roman"/>
                <w:bCs/>
              </w:rPr>
            </w:pPr>
            <w:hyperlink r:id="rId93" w:tooltip="Overview of Smart Farming based on networks" w:history="1">
              <w:r w:rsidR="00A11163" w:rsidRPr="004567E2">
                <w:rPr>
                  <w:rStyle w:val="Hyperlink"/>
                  <w:rFonts w:ascii="Times New Roman" w:hAnsi="Times New Roman" w:cs="Times New Roman"/>
                </w:rPr>
                <w:t>Recommendation ITU-T Y.4450/Y.2238 “Overview of Smart Farming based on networks”</w:t>
              </w:r>
            </w:hyperlink>
            <w:r w:rsidR="00A11163" w:rsidRPr="004567E2">
              <w:rPr>
                <w:rFonts w:ascii="Times New Roman" w:hAnsi="Times New Roman" w:cs="Times New Roman"/>
              </w:rPr>
              <w:t xml:space="preserve"> considers the actualized convergence service for agriculture, namely Smart Farming, as a solution to cope with various problems caused by severe conditions or the gap of viewpoints between people engaged in farming and IT engineers. In particular, this Recommendation defines service capabilities for Smart Farming, provides a reference model for Smart Farming, and identifies network capabilities required to produce an infrastructure which supports Smart Farming.</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2.4</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FG-AI4H</w:t>
            </w:r>
          </w:p>
        </w:tc>
        <w:tc>
          <w:tcPr>
            <w:tcW w:w="8278" w:type="dxa"/>
          </w:tcPr>
          <w:p w:rsidR="00A11163" w:rsidRPr="004567E2" w:rsidRDefault="007835EF" w:rsidP="00A11163">
            <w:pPr>
              <w:rPr>
                <w:rFonts w:ascii="Times New Roman" w:hAnsi="Times New Roman" w:cs="Times New Roman"/>
                <w:b/>
                <w:bCs/>
                <w:i/>
                <w:iCs/>
                <w:color w:val="000000"/>
                <w:sz w:val="24"/>
                <w:szCs w:val="24"/>
              </w:rPr>
            </w:pPr>
            <w:hyperlink r:id="rId94" w:history="1">
              <w:r w:rsidR="00A11163" w:rsidRPr="004567E2">
                <w:rPr>
                  <w:rStyle w:val="Hyperlink"/>
                  <w:rFonts w:ascii="Times New Roman" w:hAnsi="Times New Roman" w:cs="Times New Roman"/>
                  <w:sz w:val="24"/>
                  <w:szCs w:val="24"/>
                </w:rPr>
                <w:t>ITU-T Focus Group on “Artificial Intelligence for Health” (FG AI4H)</w:t>
              </w:r>
            </w:hyperlink>
            <w:r w:rsidR="00A11163" w:rsidRPr="004567E2">
              <w:rPr>
                <w:rFonts w:ascii="Times New Roman" w:hAnsi="Times New Roman" w:cs="Times New Roman"/>
                <w:sz w:val="24"/>
                <w:szCs w:val="24"/>
              </w:rPr>
              <w:t>. This Focus Group, inter alia, will work towards a standardized assessment of AI4H solutions, in partnership with the World Health Organization, to gather information on initiatives pertaining to AI for health and to identify existing standards, AI methods, best practises and challenges for the adoption. To review existing technologies, platforms, guidelines, standards and applications in AI for health; to identify various use case descriptions of AI for health-based methods including the problem description; to identify potential health problems to which AI-relevant interventions and machine learning can be applied and assessed that are scalable; to identify structured and normalized medical data required for testing AI algorithms that are part of emerging medical devices and diagnostics and to collect health data for the identified use cases; to identify interfaces, criteria and to specify the framework for assessment and validation of AI-based solutions for the identified use cases; to provide use case-specific benchmarking (results) of AI candidate algorithms and to generate reports; to draft technical reports and specifications for assessment frameworks for AI for health, including for example data formats, interfaces, architecture, and protocols.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C4, C7, C11</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3.6, 9.1, 17.6, 17.16, 17.17</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ITU-T SGs on e-health </w:t>
            </w:r>
          </w:p>
        </w:tc>
        <w:tc>
          <w:tcPr>
            <w:tcW w:w="8278" w:type="dxa"/>
          </w:tcPr>
          <w:p w:rsidR="00A11163" w:rsidRPr="004567E2" w:rsidRDefault="00A11163" w:rsidP="00A11163">
            <w:pPr>
              <w:rPr>
                <w:rFonts w:ascii="Times New Roman" w:hAnsi="Times New Roman" w:cs="Times New Roman"/>
                <w:color w:val="000000"/>
                <w:sz w:val="24"/>
                <w:szCs w:val="24"/>
              </w:rPr>
            </w:pPr>
            <w:r w:rsidRPr="004567E2">
              <w:rPr>
                <w:rFonts w:ascii="Times New Roman" w:hAnsi="Times New Roman" w:cs="Times New Roman"/>
                <w:color w:val="000000"/>
                <w:sz w:val="24"/>
                <w:szCs w:val="24"/>
              </w:rPr>
              <w:t>Work of ITU-T SG 16 (particularly Q28) on standardization of multimedia system to support e-health applications.’ ITU standards providing interoperability design guidelines for personal health systems</w:t>
            </w:r>
            <w:r w:rsidRPr="004567E2">
              <w:rPr>
                <w:rFonts w:ascii="Times New Roman" w:hAnsi="Times New Roman" w:cs="Times New Roman"/>
                <w:b/>
                <w:bCs/>
                <w:color w:val="000000"/>
                <w:sz w:val="24"/>
                <w:szCs w:val="24"/>
              </w:rPr>
              <w:t xml:space="preserve"> </w:t>
            </w:r>
            <w:r w:rsidRPr="004567E2">
              <w:rPr>
                <w:rFonts w:ascii="Times New Roman" w:hAnsi="Times New Roman" w:cs="Times New Roman"/>
                <w:color w:val="000000"/>
                <w:sz w:val="24"/>
                <w:szCs w:val="24"/>
              </w:rPr>
              <w:t>are supporting the development of medical-grade e-health devices such as blood pressure cuffs, glucose monitors, weight scales and a wide range of activity trackers.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 e-health</w:t>
            </w:r>
          </w:p>
        </w:tc>
        <w:tc>
          <w:tcPr>
            <w:tcW w:w="8278" w:type="dxa"/>
          </w:tcPr>
          <w:p w:rsidR="00A11163" w:rsidRPr="004567E2" w:rsidRDefault="00A11163" w:rsidP="00A11163">
            <w:pPr>
              <w:rPr>
                <w:rFonts w:ascii="Times New Roman" w:hAnsi="Times New Roman" w:cs="Times New Roman"/>
                <w:color w:val="000000"/>
                <w:sz w:val="24"/>
                <w:szCs w:val="24"/>
              </w:rPr>
            </w:pPr>
            <w:r w:rsidRPr="004567E2">
              <w:rPr>
                <w:rFonts w:ascii="Times New Roman" w:hAnsi="Times New Roman" w:cs="Times New Roman"/>
                <w:sz w:val="24"/>
                <w:szCs w:val="24"/>
              </w:rPr>
              <w:t>ITU T Study Group 17 is responsible for building confidence and security in the use of information and communication technologies (ICT). Question 9/17 of SG17 is studying biometrics, and usage of biometrics in generic protocols for e-health and tele-medicine.</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A11163" w:rsidP="00A11163">
            <w:pPr>
              <w:rPr>
                <w:rFonts w:ascii="Times New Roman" w:hAnsi="Times New Roman" w:cs="Times New Roman"/>
                <w:bCs/>
                <w:i/>
                <w:iCs/>
                <w:color w:val="000000"/>
                <w:sz w:val="24"/>
                <w:szCs w:val="24"/>
              </w:rPr>
            </w:pPr>
            <w:r w:rsidRPr="004567E2">
              <w:rPr>
                <w:rFonts w:ascii="Times New Roman" w:hAnsi="Times New Roman" w:cs="Times New Roman"/>
                <w:bCs/>
                <w:i/>
                <w:iCs/>
                <w:color w:val="000000"/>
                <w:sz w:val="24"/>
                <w:szCs w:val="24"/>
              </w:rPr>
              <w:t>The 2</w:t>
            </w:r>
            <w:r w:rsidRPr="004567E2">
              <w:rPr>
                <w:rFonts w:ascii="Times New Roman" w:hAnsi="Times New Roman" w:cs="Times New Roman"/>
                <w:bCs/>
                <w:i/>
                <w:iCs/>
                <w:color w:val="000000"/>
                <w:sz w:val="24"/>
                <w:szCs w:val="24"/>
                <w:vertAlign w:val="superscript"/>
              </w:rPr>
              <w:t>nd</w:t>
            </w:r>
            <w:r w:rsidRPr="004567E2">
              <w:rPr>
                <w:rFonts w:ascii="Times New Roman" w:hAnsi="Times New Roman" w:cs="Times New Roman"/>
                <w:bCs/>
                <w:i/>
                <w:iCs/>
                <w:color w:val="000000"/>
                <w:sz w:val="24"/>
                <w:szCs w:val="24"/>
              </w:rPr>
              <w:t xml:space="preserve"> edition of the Continua Design Guidelines in ITU-T H.810 (e-health standards).</w:t>
            </w:r>
          </w:p>
          <w:p w:rsidR="00A11163" w:rsidRPr="004567E2" w:rsidRDefault="00A11163" w:rsidP="00A11163">
            <w:pPr>
              <w:rPr>
                <w:rFonts w:ascii="Times New Roman" w:hAnsi="Times New Roman" w:cs="Times New Roman"/>
                <w:b/>
                <w:bCs/>
                <w:color w:val="000000"/>
                <w:sz w:val="24"/>
                <w:szCs w:val="24"/>
              </w:rPr>
            </w:pPr>
            <w:r w:rsidRPr="004567E2">
              <w:rPr>
                <w:rFonts w:ascii="Times New Roman" w:hAnsi="Times New Roman" w:cs="Times New Roman"/>
                <w:color w:val="000000"/>
                <w:sz w:val="24"/>
                <w:szCs w:val="24"/>
              </w:rPr>
              <w:t xml:space="preserve">e-health issues are handled by </w:t>
            </w:r>
            <w:hyperlink r:id="rId95" w:history="1">
              <w:r w:rsidRPr="004567E2">
                <w:rPr>
                  <w:rStyle w:val="Hyperlink"/>
                  <w:rFonts w:ascii="Times New Roman" w:hAnsi="Times New Roman" w:cs="Times New Roman"/>
                  <w:sz w:val="24"/>
                  <w:szCs w:val="24"/>
                </w:rPr>
                <w:t>Question 28/16</w:t>
              </w:r>
            </w:hyperlink>
            <w:r w:rsidRPr="004567E2">
              <w:rPr>
                <w:rFonts w:ascii="Times New Roman" w:hAnsi="Times New Roman" w:cs="Times New Roman"/>
                <w:color w:val="000000"/>
                <w:sz w:val="24"/>
                <w:szCs w:val="24"/>
              </w:rPr>
              <w:t xml:space="preserve"> (Multimedia framework for e-health applications), which focuses on standardization of Multimedia Systems to support e-health applications. Question 28/16 is allocated under ITU-T Study Group 16, which is the Lead Study Group on ubiquitous applications (“e-everything”, such as e-health and e-business). This high-level Question will coordinate the technical standardization of multimedia systems and capabilities for e-health applications in ITU-T and will develop corresponding Recommendations.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rPr>
                <w:rFonts w:ascii="Times New Roman" w:hAnsi="Times New Roman" w:cs="Times New Roman"/>
                <w:b/>
                <w:bCs/>
                <w:color w:val="000000"/>
                <w:sz w:val="24"/>
                <w:szCs w:val="24"/>
              </w:rPr>
            </w:pPr>
            <w:hyperlink r:id="rId96" w:history="1">
              <w:r w:rsidR="00A11163" w:rsidRPr="004567E2">
                <w:rPr>
                  <w:rStyle w:val="Hyperlink"/>
                  <w:rFonts w:ascii="Times New Roman" w:hAnsi="Times New Roman" w:cs="Times New Roman"/>
                  <w:sz w:val="24"/>
                  <w:szCs w:val="24"/>
                </w:rPr>
                <w:t>Recommendation ITU-T F.780.1 “Framework for telemedicine systems using ultra-high definition imaging”</w:t>
              </w:r>
            </w:hyperlink>
            <w:r w:rsidR="00A11163" w:rsidRPr="004567E2">
              <w:rPr>
                <w:rStyle w:val="Hyperlink"/>
                <w:rFonts w:ascii="Times New Roman" w:hAnsi="Times New Roman" w:cs="Times New Roman"/>
                <w:color w:val="000000"/>
                <w:sz w:val="24"/>
                <w:szCs w:val="24"/>
                <w:u w:val="none"/>
              </w:rPr>
              <w:t xml:space="preserve"> describes requirements for using ultra-high definition (UHD) imaging, such as 4K and 8K video, for telemedicine. The purpose of these requirements is to use UHD systems as part of endoscope and/or microsope for medical practices. This document also describes a list of requirements for usng a UHD-based “endosopic video camera” as a medical device. In addition, Annex A describes the requirements on the use of this technology as a medical device.</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rPr>
                <w:rStyle w:val="Hyperlink"/>
                <w:rFonts w:ascii="Times New Roman" w:hAnsi="Times New Roman" w:cs="Times New Roman"/>
                <w:color w:val="000000"/>
                <w:sz w:val="24"/>
                <w:szCs w:val="24"/>
                <w:u w:val="none"/>
              </w:rPr>
            </w:pPr>
            <w:hyperlink r:id="rId97" w:history="1">
              <w:r w:rsidR="00A11163" w:rsidRPr="004567E2">
                <w:rPr>
                  <w:rStyle w:val="Hyperlink"/>
                  <w:rFonts w:ascii="Times New Roman" w:hAnsi="Times New Roman" w:cs="Times New Roman"/>
                  <w:sz w:val="24"/>
                  <w:szCs w:val="24"/>
                </w:rPr>
                <w:t>Recommendation ITU-T H.265.1 V3 “Conformance specification for ITU-T H.265 high efficiency video coding”</w:t>
              </w:r>
            </w:hyperlink>
            <w:r w:rsidR="00A11163" w:rsidRPr="004567E2">
              <w:rPr>
                <w:rStyle w:val="Hyperlink"/>
                <w:rFonts w:ascii="Times New Roman" w:hAnsi="Times New Roman" w:cs="Times New Roman"/>
                <w:color w:val="000000"/>
                <w:sz w:val="24"/>
                <w:szCs w:val="24"/>
                <w:u w:val="none"/>
              </w:rPr>
              <w:t xml:space="preserve"> specifies tests for (non-exhaustive) testing to verify whether bitstreams and decoders meet the normative requirements specified in Rec. </w:t>
            </w:r>
            <w:r w:rsidR="00A11163" w:rsidRPr="004567E2">
              <w:rPr>
                <w:rStyle w:val="Hyperlink"/>
                <w:rFonts w:ascii="Times New Roman" w:hAnsi="Times New Roman" w:cs="Times New Roman"/>
                <w:color w:val="000000"/>
                <w:sz w:val="24"/>
                <w:szCs w:val="24"/>
                <w:u w:val="none"/>
              </w:rPr>
              <w:lastRenderedPageBreak/>
              <w:t>ITU-T H.265 | ISO/IEC 23008-2. The bitstreams provided in this Recommendation correspond to the 02-2018 version of Rec. ITU-T H.265 | ISO/IEC 23008-2.</w:t>
            </w:r>
          </w:p>
          <w:p w:rsidR="00A11163" w:rsidRPr="004567E2" w:rsidRDefault="00A11163" w:rsidP="00A11163">
            <w:pPr>
              <w:rPr>
                <w:rStyle w:val="Hyperlink"/>
                <w:rFonts w:ascii="Times New Roman" w:hAnsi="Times New Roman" w:cs="Times New Roman"/>
                <w:color w:val="000000"/>
                <w:sz w:val="24"/>
                <w:szCs w:val="24"/>
                <w:u w:val="none"/>
              </w:rPr>
            </w:pPr>
            <w:r w:rsidRPr="004567E2">
              <w:rPr>
                <w:rStyle w:val="Hyperlink"/>
                <w:rFonts w:ascii="Times New Roman" w:hAnsi="Times New Roman" w:cs="Times New Roman"/>
                <w:color w:val="000000"/>
                <w:sz w:val="24"/>
                <w:szCs w:val="24"/>
                <w:u w:val="none"/>
              </w:rPr>
              <w:t>This 3rd edition adds tests for the screen content coding (SCC) extensions and non-intra high throughput profiles.</w:t>
            </w:r>
          </w:p>
          <w:p w:rsidR="00A11163" w:rsidRPr="004567E2" w:rsidRDefault="00A11163" w:rsidP="00A11163">
            <w:pPr>
              <w:rPr>
                <w:rStyle w:val="Hyperlink"/>
                <w:rFonts w:ascii="Times New Roman" w:hAnsi="Times New Roman" w:cs="Times New Roman"/>
                <w:color w:val="000000"/>
                <w:sz w:val="24"/>
                <w:szCs w:val="24"/>
                <w:u w:val="none"/>
              </w:rPr>
            </w:pPr>
            <w:r w:rsidRPr="004567E2">
              <w:rPr>
                <w:rStyle w:val="Hyperlink"/>
                <w:rFonts w:ascii="Times New Roman" w:hAnsi="Times New Roman" w:cs="Times New Roman"/>
                <w:color w:val="000000"/>
                <w:sz w:val="24"/>
                <w:szCs w:val="24"/>
                <w:u w:val="none"/>
              </w:rPr>
              <w:t>This Recommendation was developed jointly with ISO/IEC JTC 1/SC 29/WG 11 (MPEG) and corresponds in a technically aligned manner to ISO/IEC 23008-8.</w:t>
            </w:r>
          </w:p>
          <w:p w:rsidR="00A11163" w:rsidRPr="004567E2" w:rsidRDefault="00A11163" w:rsidP="00A11163">
            <w:pPr>
              <w:rPr>
                <w:rStyle w:val="Hyperlink"/>
                <w:rFonts w:ascii="Times New Roman" w:hAnsi="Times New Roman" w:cs="Times New Roman"/>
                <w:color w:val="000000"/>
                <w:sz w:val="24"/>
                <w:szCs w:val="24"/>
                <w:u w:val="none"/>
              </w:rPr>
            </w:pPr>
            <w:r w:rsidRPr="004567E2">
              <w:rPr>
                <w:rStyle w:val="Hyperlink"/>
                <w:rFonts w:ascii="Times New Roman" w:hAnsi="Times New Roman" w:cs="Times New Roman"/>
                <w:color w:val="000000"/>
                <w:sz w:val="24"/>
                <w:szCs w:val="24"/>
                <w:u w:val="none"/>
              </w:rPr>
              <w:t xml:space="preserve">The conformance bitstreams needed for this Recommendation are available at the following link: </w:t>
            </w:r>
            <w:hyperlink r:id="rId98" w:history="1">
              <w:r w:rsidRPr="004567E2">
                <w:rPr>
                  <w:rStyle w:val="Hyperlink"/>
                  <w:rFonts w:ascii="Times New Roman" w:hAnsi="Times New Roman" w:cs="Times New Roman"/>
                  <w:sz w:val="24"/>
                  <w:szCs w:val="24"/>
                </w:rPr>
                <w:t>https://itu.int/wftp3/av-arch/jctvc-site/bitstream_exchange/draft_conformance</w:t>
              </w:r>
            </w:hyperlink>
            <w:r w:rsidRPr="004567E2">
              <w:rPr>
                <w:rStyle w:val="Hyperlink"/>
                <w:rFonts w:ascii="Times New Roman" w:hAnsi="Times New Roman" w:cs="Times New Roman"/>
                <w:color w:val="000000"/>
                <w:sz w:val="24"/>
                <w:szCs w:val="24"/>
                <w:u w:val="none"/>
              </w:rPr>
              <w:t>.</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C2</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rPr>
                <w:rStyle w:val="Hyperlink"/>
                <w:rFonts w:ascii="Times New Roman" w:hAnsi="Times New Roman" w:cs="Times New Roman"/>
                <w:color w:val="000000"/>
                <w:sz w:val="24"/>
                <w:szCs w:val="24"/>
                <w:u w:val="none"/>
              </w:rPr>
            </w:pPr>
            <w:hyperlink r:id="rId99" w:history="1">
              <w:r w:rsidR="00A11163" w:rsidRPr="004567E2">
                <w:rPr>
                  <w:rStyle w:val="Hyperlink"/>
                  <w:rFonts w:ascii="Times New Roman" w:hAnsi="Times New Roman" w:cs="Times New Roman"/>
                  <w:sz w:val="24"/>
                  <w:szCs w:val="24"/>
                </w:rPr>
                <w:t>Recommendation ITU-T X.894 “Generic applications of ASN.1 Cryptographic Message Syntax”</w:t>
              </w:r>
            </w:hyperlink>
            <w:r w:rsidR="00A11163" w:rsidRPr="004567E2">
              <w:rPr>
                <w:rStyle w:val="Hyperlink"/>
                <w:rFonts w:ascii="Times New Roman" w:hAnsi="Times New Roman" w:cs="Times New Roman"/>
                <w:color w:val="000000"/>
                <w:sz w:val="24"/>
                <w:szCs w:val="24"/>
                <w:u w:val="none"/>
              </w:rPr>
              <w:t xml:space="preserve"> provides Abstract Syntax Notation One (ASN.1) modules for using cryptographic syntax in ITU-T Recommendations. Cryptographic message syntax (CMS) provides data integrity, confidentiality, origin authenticity, and non-repudiation services needed for reliable information exchange and for strong authentication. It also brings together a set of cryptographic key management techniques to support flexible key establishment mechanisms, such as constructive key management, key agreement, key exchange, and password-based encryption. These techniques can be used to prevent fraud, and to protect personally identifiable and other sensitive information. This Recommendation | International Standard supports digital signature, encryption, and signcryption techniques based on the public-key technology defined in the ITU-T X.500 series | ISO/IEC 9594 multipart standard. All of the standardized encoding rules for ASN.1 are supported.</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C5</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rPr>
                <w:rStyle w:val="Hyperlink"/>
                <w:rFonts w:asciiTheme="majorBidi" w:hAnsiTheme="majorBidi" w:cstheme="majorBidi"/>
                <w:bCs/>
                <w:color w:val="auto"/>
                <w:sz w:val="24"/>
                <w:szCs w:val="24"/>
                <w:u w:val="none"/>
              </w:rPr>
            </w:pPr>
            <w:hyperlink r:id="rId100" w:history="1">
              <w:r w:rsidR="00A11163" w:rsidRPr="004567E2">
                <w:rPr>
                  <w:rStyle w:val="Hyperlink"/>
                  <w:rFonts w:asciiTheme="majorBidi" w:hAnsiTheme="majorBidi" w:cstheme="majorBidi"/>
                  <w:bCs/>
                  <w:sz w:val="24"/>
                  <w:szCs w:val="24"/>
                </w:rPr>
                <w:t>Recommendation ITU-T Z.100 Annex F1 (revised) “Specification and Description Language - Overview of SDL-2010 - Annex F1: SDL-2010 formal definition: General overview”</w:t>
              </w:r>
            </w:hyperlink>
            <w:r w:rsidR="00A11163" w:rsidRPr="004567E2">
              <w:rPr>
                <w:rFonts w:asciiTheme="majorBidi" w:hAnsiTheme="majorBidi" w:cstheme="majorBidi"/>
                <w:bCs/>
                <w:sz w:val="24"/>
                <w:szCs w:val="24"/>
              </w:rPr>
              <w:t>provides the motivation for and the main objectives of a formal semantics definition for SDL-2010. It gives an overview of the structure of the formal semantics, and it also contains an introduction to the Abstract State Machine (ASM) formalism, which is used to define the SDL 2010 semantics.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rPr>
                <w:rFonts w:asciiTheme="majorBidi" w:hAnsiTheme="majorBidi" w:cstheme="majorBidi"/>
                <w:bCs/>
                <w:sz w:val="24"/>
                <w:szCs w:val="24"/>
              </w:rPr>
            </w:pPr>
            <w:hyperlink r:id="rId101" w:history="1">
              <w:r w:rsidR="00A11163" w:rsidRPr="004567E2">
                <w:rPr>
                  <w:rStyle w:val="Hyperlink"/>
                  <w:rFonts w:asciiTheme="majorBidi" w:hAnsiTheme="majorBidi" w:cstheme="majorBidi"/>
                  <w:bCs/>
                  <w:sz w:val="24"/>
                  <w:szCs w:val="24"/>
                </w:rPr>
                <w:t>Recommendation ITU-T Z.100 Annex F2 (revised) “Specification and Description Language – Overview of SDL 2010 - Annex F2: SDL 2010 formal definition: Static semantics”</w:t>
              </w:r>
            </w:hyperlink>
            <w:r w:rsidR="00A11163" w:rsidRPr="004567E2">
              <w:rPr>
                <w:rFonts w:asciiTheme="majorBidi" w:hAnsiTheme="majorBidi" w:cstheme="majorBidi"/>
                <w:bCs/>
                <w:sz w:val="24"/>
                <w:szCs w:val="24"/>
              </w:rPr>
              <w:t xml:space="preserve"> describes the static semantic constraints of SDL-2010, the mapping to the abstract grammar and the transformations identified by the 'Model' clauses of Recommendations ITU-T Z.101, Z.102, Z.103, Z.104, Z.105 and Z.107, that are included by reference in Recommendation ITU-T Z.100.</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spacing w:after="160" w:line="259" w:lineRule="auto"/>
              <w:rPr>
                <w:rFonts w:asciiTheme="majorBidi" w:hAnsiTheme="majorBidi" w:cstheme="majorBidi"/>
                <w:bCs/>
                <w:sz w:val="24"/>
                <w:szCs w:val="24"/>
              </w:rPr>
            </w:pPr>
            <w:hyperlink r:id="rId102" w:history="1">
              <w:r w:rsidR="00A11163" w:rsidRPr="004567E2">
                <w:rPr>
                  <w:rStyle w:val="Hyperlink"/>
                  <w:rFonts w:asciiTheme="majorBidi" w:hAnsiTheme="majorBidi" w:cstheme="majorBidi"/>
                  <w:bCs/>
                  <w:sz w:val="24"/>
                  <w:szCs w:val="24"/>
                </w:rPr>
                <w:t>Recommendation ITU-T Z.100 Annex F3 (revised) “Specification and Description Language – Overview of SDL 2010 - Annex F3: SDL 2010 formal definition: Dynamic semantics”</w:t>
              </w:r>
            </w:hyperlink>
            <w:r w:rsidR="00A11163" w:rsidRPr="004567E2">
              <w:rPr>
                <w:rFonts w:asciiTheme="majorBidi" w:hAnsiTheme="majorBidi" w:cstheme="majorBidi"/>
                <w:bCs/>
                <w:sz w:val="24"/>
                <w:szCs w:val="24"/>
              </w:rPr>
              <w:t xml:space="preserve"> defines the SDL 2010 dynamic semantics.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rPr>
                <w:rStyle w:val="Hyperlink"/>
                <w:rFonts w:ascii="Times New Roman" w:hAnsi="Times New Roman" w:cs="Times New Roman"/>
                <w:color w:val="auto"/>
                <w:u w:val="none"/>
              </w:rPr>
            </w:pPr>
            <w:hyperlink r:id="rId103" w:history="1">
              <w:r w:rsidR="00A11163" w:rsidRPr="004567E2">
                <w:rPr>
                  <w:rStyle w:val="Hyperlink"/>
                  <w:rFonts w:ascii="Times New Roman" w:hAnsi="Times New Roman" w:cs="Times New Roman"/>
                </w:rPr>
                <w:t>Recommendation ITU-T X.676 “Object identifier-based resolution framework for IoT grouped services”</w:t>
              </w:r>
            </w:hyperlink>
            <w:r w:rsidR="00A11163" w:rsidRPr="004567E2">
              <w:rPr>
                <w:rFonts w:ascii="Times New Roman" w:hAnsi="Times New Roman" w:cs="Times New Roman"/>
              </w:rPr>
              <w:t xml:space="preserve"> specifies an OID-based resolution framework for identifying various services in IoT environments. This draft Recommendation describes the concepts of IoT grouped services, considerations, architectures, and procedures for an OID-based resolution framework for IoT grouped services.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C6</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rPr>
                <w:rStyle w:val="Hyperlink"/>
                <w:rFonts w:ascii="Times New Roman" w:hAnsi="Times New Roman" w:cs="Times New Roman"/>
                <w:color w:val="000000"/>
                <w:sz w:val="24"/>
                <w:szCs w:val="24"/>
                <w:u w:val="none"/>
              </w:rPr>
            </w:pPr>
            <w:hyperlink r:id="rId104" w:history="1">
              <w:r w:rsidR="00A11163" w:rsidRPr="004567E2">
                <w:rPr>
                  <w:rStyle w:val="Hyperlink"/>
                  <w:rFonts w:ascii="Times New Roman" w:hAnsi="Times New Roman" w:cs="Times New Roman"/>
                  <w:sz w:val="24"/>
                  <w:szCs w:val="24"/>
                </w:rPr>
                <w:t>Recommendation ITU-T Z.151 (revised) “User Requirements Notation (URN) - Language definition”</w:t>
              </w:r>
            </w:hyperlink>
            <w:r w:rsidR="00A11163" w:rsidRPr="004567E2">
              <w:rPr>
                <w:rStyle w:val="Hyperlink"/>
                <w:rFonts w:ascii="Times New Roman" w:hAnsi="Times New Roman" w:cs="Times New Roman"/>
                <w:color w:val="000000"/>
                <w:sz w:val="24"/>
                <w:szCs w:val="24"/>
                <w:u w:val="none"/>
              </w:rPr>
              <w:t xml:space="preserve"> (under approval) defines the User Requirements Notation (URN) intended for the elicitation, analysis, specification and validation of requirements. URN combines modelling concepts and notations for goals (mainly for non-functional requirements and quality attributes) and scenarios (mainly for operational requirements, functional requirements and performance and architectural reasoning). The goal sub-notation is called Goal-oriented Requirements Language (GRL) and the scenario sub notation is called Use Case Map (UCM).</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rPr>
                <w:rStyle w:val="Hyperlink"/>
                <w:rFonts w:ascii="Times New Roman" w:hAnsi="Times New Roman" w:cs="Times New Roman"/>
                <w:color w:val="000000"/>
                <w:sz w:val="24"/>
                <w:szCs w:val="24"/>
                <w:u w:val="none"/>
              </w:rPr>
            </w:pPr>
            <w:hyperlink r:id="rId105" w:history="1">
              <w:r w:rsidR="00A11163" w:rsidRPr="004567E2">
                <w:rPr>
                  <w:rStyle w:val="Hyperlink"/>
                  <w:rFonts w:ascii="Times New Roman" w:hAnsi="Times New Roman" w:cs="Times New Roman"/>
                  <w:sz w:val="24"/>
                  <w:szCs w:val="24"/>
                </w:rPr>
                <w:t>Recommendation ITU-T Z.161 “Testing and Test Control Notation version 3: TTCN-3 core language”</w:t>
              </w:r>
            </w:hyperlink>
            <w:r w:rsidR="00A11163" w:rsidRPr="004567E2">
              <w:rPr>
                <w:rStyle w:val="Hyperlink"/>
                <w:rFonts w:ascii="Times New Roman" w:hAnsi="Times New Roman" w:cs="Times New Roman"/>
                <w:color w:val="000000"/>
                <w:sz w:val="24"/>
                <w:szCs w:val="24"/>
                <w:u w:val="none"/>
              </w:rPr>
              <w:t xml:space="preserve"> (under approval) defines TTCN-3 (Testing and Test Control Notation 3) intended for specification of test suites that are independent of platforms, test methods, protocol layers and protocols.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rPr>
                <w:rStyle w:val="Hyperlink"/>
                <w:rFonts w:ascii="Times New Roman" w:hAnsi="Times New Roman" w:cs="Times New Roman"/>
                <w:color w:val="000000"/>
                <w:sz w:val="24"/>
                <w:szCs w:val="24"/>
                <w:u w:val="none"/>
              </w:rPr>
            </w:pPr>
            <w:hyperlink r:id="rId106" w:history="1">
              <w:r w:rsidR="00A11163" w:rsidRPr="004567E2">
                <w:rPr>
                  <w:rStyle w:val="Hyperlink"/>
                  <w:rFonts w:ascii="Times New Roman" w:hAnsi="Times New Roman" w:cs="Times New Roman"/>
                  <w:sz w:val="24"/>
                  <w:szCs w:val="24"/>
                </w:rPr>
                <w:t>Recommendation ITU-T Z.161.2 “Testing and Test Control Notation version 3: TTCN-3 language extensions: Configuration and deployment support”</w:t>
              </w:r>
            </w:hyperlink>
            <w:r w:rsidR="00A11163" w:rsidRPr="004567E2">
              <w:rPr>
                <w:rStyle w:val="Hyperlink"/>
                <w:rFonts w:ascii="Times New Roman" w:hAnsi="Times New Roman" w:cs="Times New Roman"/>
                <w:color w:val="000000"/>
                <w:sz w:val="24"/>
                <w:szCs w:val="24"/>
                <w:u w:val="none"/>
              </w:rPr>
              <w:t xml:space="preserve"> (under approval) defines the configuration and deployment support package of TTCN-3.</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rPr>
                <w:rStyle w:val="Hyperlink"/>
                <w:rFonts w:ascii="Times New Roman" w:hAnsi="Times New Roman" w:cs="Times New Roman"/>
                <w:color w:val="000000"/>
                <w:sz w:val="24"/>
                <w:szCs w:val="24"/>
                <w:u w:val="none"/>
              </w:rPr>
            </w:pPr>
            <w:hyperlink r:id="rId107" w:history="1">
              <w:r w:rsidR="00A11163" w:rsidRPr="004567E2">
                <w:rPr>
                  <w:rStyle w:val="Hyperlink"/>
                  <w:rFonts w:ascii="Times New Roman" w:hAnsi="Times New Roman" w:cs="Times New Roman"/>
                  <w:sz w:val="24"/>
                  <w:szCs w:val="24"/>
                </w:rPr>
                <w:t>Recommendation ITU-T Z.161.4 “Testing and Test Control Notation version 3: TTCN-3 language extensions: Behaviour types”</w:t>
              </w:r>
            </w:hyperlink>
            <w:r w:rsidR="00A11163" w:rsidRPr="004567E2">
              <w:rPr>
                <w:rStyle w:val="Hyperlink"/>
                <w:rFonts w:ascii="Times New Roman" w:hAnsi="Times New Roman" w:cs="Times New Roman"/>
                <w:color w:val="000000"/>
                <w:sz w:val="24"/>
                <w:szCs w:val="24"/>
                <w:u w:val="none"/>
              </w:rPr>
              <w:t xml:space="preserve"> (under approval) defines the behaviour types package of TTCN 3.</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rPr>
                <w:rStyle w:val="Hyperlink"/>
                <w:rFonts w:ascii="Times New Roman" w:hAnsi="Times New Roman" w:cs="Times New Roman"/>
                <w:color w:val="000000"/>
                <w:sz w:val="24"/>
                <w:szCs w:val="24"/>
                <w:u w:val="none"/>
              </w:rPr>
            </w:pPr>
            <w:hyperlink r:id="rId108" w:history="1">
              <w:r w:rsidR="00A11163" w:rsidRPr="004567E2">
                <w:rPr>
                  <w:rStyle w:val="Hyperlink"/>
                  <w:rFonts w:ascii="Times New Roman" w:hAnsi="Times New Roman" w:cs="Times New Roman"/>
                  <w:sz w:val="24"/>
                  <w:szCs w:val="24"/>
                </w:rPr>
                <w:t>Recommendation ITU-T Z.161.6 “Testing and Test Control Notation version 3: TTCN-3 language extensions: Advanced matching”</w:t>
              </w:r>
            </w:hyperlink>
            <w:r w:rsidR="00A11163" w:rsidRPr="004567E2">
              <w:rPr>
                <w:rStyle w:val="Hyperlink"/>
                <w:rFonts w:ascii="Times New Roman" w:hAnsi="Times New Roman" w:cs="Times New Roman"/>
                <w:color w:val="000000"/>
                <w:sz w:val="24"/>
                <w:szCs w:val="24"/>
                <w:u w:val="none"/>
              </w:rPr>
              <w:t xml:space="preserve"> (under approval) defines the support of advance matching of TTCN-3. TTCN-3 can be used for the specification of all types of reactive system tests over a variety of communication ports. Typical areas of application are protocol testing (including mobile and Internet protocols), service testing (including supplementary services), module testing, testing of OMG CORBA based platforms, APIs, etc. TTCN-3 is not restricted to conformance testing and can be used for many other kinds of testing including interoperability, robustness, regression, system and integration testing. The specification of test suites for physical layer protocols is outside the scope of the present document. TTCN-3 packages are intended to define additional TTCN-3 concepts, which are not mandatory as concepts in the TTCN-3 core language, but which are optional as part of a package which is suited for dedicated applications and/or usages of TTCN-3. While the design of TTCN-3 package has taken into account the consistency of a combined usage of the core language with a number of packages, the concrete usages of and guidelines for this package in combination with other packages is outside the scope of the present document.</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rPr>
                <w:rStyle w:val="Hyperlink"/>
                <w:rFonts w:ascii="Times New Roman" w:hAnsi="Times New Roman" w:cs="Times New Roman"/>
                <w:color w:val="000000"/>
                <w:sz w:val="24"/>
                <w:szCs w:val="24"/>
                <w:u w:val="none"/>
              </w:rPr>
            </w:pPr>
            <w:hyperlink r:id="rId109" w:history="1">
              <w:r w:rsidR="00A11163" w:rsidRPr="004567E2">
                <w:rPr>
                  <w:rStyle w:val="Hyperlink"/>
                  <w:rFonts w:ascii="Times New Roman" w:hAnsi="Times New Roman" w:cs="Times New Roman"/>
                  <w:sz w:val="24"/>
                  <w:szCs w:val="24"/>
                </w:rPr>
                <w:t>Recommendation ITU-T Z.166 “Testing and Test Control Notation version 3: TTCN-3 control interface (TCI)”</w:t>
              </w:r>
            </w:hyperlink>
            <w:r w:rsidR="00A11163" w:rsidRPr="004567E2">
              <w:rPr>
                <w:rStyle w:val="Hyperlink"/>
                <w:rFonts w:ascii="Times New Roman" w:hAnsi="Times New Roman" w:cs="Times New Roman"/>
                <w:color w:val="000000"/>
                <w:sz w:val="24"/>
                <w:szCs w:val="24"/>
                <w:u w:val="none"/>
              </w:rPr>
              <w:t xml:space="preserve"> (under approval) specifies the control interfaces for TTCN-3 test system implementations, and provides a standardized adaptation for management, test component handling and encoding/decoding of a test system to a particular test platform.</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rPr>
                <w:rStyle w:val="Hyperlink"/>
                <w:rFonts w:ascii="Times New Roman" w:hAnsi="Times New Roman" w:cs="Times New Roman"/>
                <w:color w:val="000000"/>
                <w:sz w:val="24"/>
                <w:szCs w:val="24"/>
                <w:u w:val="none"/>
              </w:rPr>
            </w:pPr>
            <w:hyperlink r:id="rId110" w:history="1">
              <w:r w:rsidR="00A11163" w:rsidRPr="004567E2">
                <w:rPr>
                  <w:rStyle w:val="Hyperlink"/>
                  <w:rFonts w:ascii="Times New Roman" w:hAnsi="Times New Roman" w:cs="Times New Roman"/>
                  <w:sz w:val="24"/>
                  <w:szCs w:val="24"/>
                </w:rPr>
                <w:t>Recommendation ITU-T Z.167 “Testing and Test Control Notation version 3: Using ASN.1 with TTCN-3”</w:t>
              </w:r>
            </w:hyperlink>
            <w:r w:rsidR="00A11163" w:rsidRPr="004567E2">
              <w:rPr>
                <w:rStyle w:val="Hyperlink"/>
                <w:rFonts w:ascii="Times New Roman" w:hAnsi="Times New Roman" w:cs="Times New Roman"/>
                <w:color w:val="000000"/>
                <w:sz w:val="24"/>
                <w:szCs w:val="24"/>
                <w:u w:val="none"/>
              </w:rPr>
              <w:t xml:space="preserve"> (under approval) defines a normative way of using ASN.1 as defined in Recommendations ITU-T X.680, ITU-T X.681, ITU-T X.682 and ITU-T X.683 with TTCN-3.</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rPr>
                <w:rStyle w:val="Hyperlink"/>
                <w:rFonts w:ascii="Times New Roman" w:hAnsi="Times New Roman" w:cs="Times New Roman"/>
                <w:color w:val="000000"/>
                <w:sz w:val="24"/>
                <w:szCs w:val="24"/>
                <w:u w:val="none"/>
              </w:rPr>
            </w:pPr>
            <w:hyperlink r:id="rId111" w:history="1">
              <w:r w:rsidR="00A11163" w:rsidRPr="004567E2">
                <w:rPr>
                  <w:rStyle w:val="Hyperlink"/>
                  <w:rFonts w:ascii="Times New Roman" w:hAnsi="Times New Roman" w:cs="Times New Roman"/>
                  <w:sz w:val="24"/>
                  <w:szCs w:val="24"/>
                </w:rPr>
                <w:t>Recommendation ITU-T Z.169 “Testing and Test Control Notation version 3: Using XML schema with TTCN-3”</w:t>
              </w:r>
            </w:hyperlink>
            <w:r w:rsidR="00A11163" w:rsidRPr="004567E2">
              <w:rPr>
                <w:rStyle w:val="Hyperlink"/>
                <w:rFonts w:ascii="Times New Roman" w:hAnsi="Times New Roman" w:cs="Times New Roman"/>
                <w:color w:val="000000"/>
                <w:sz w:val="24"/>
                <w:szCs w:val="24"/>
                <w:u w:val="none"/>
              </w:rPr>
              <w:t xml:space="preserve"> (under approval) defines the mapping rules for W3C Schema to TTCN-3 to enable testing of XML-based systems, interfaces and protocols.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rPr>
                <w:rStyle w:val="Hyperlink"/>
                <w:rFonts w:ascii="Times New Roman" w:hAnsi="Times New Roman" w:cs="Times New Roman"/>
                <w:color w:val="000000"/>
                <w:sz w:val="24"/>
                <w:szCs w:val="24"/>
                <w:u w:val="none"/>
              </w:rPr>
            </w:pPr>
            <w:hyperlink r:id="rId112" w:history="1">
              <w:r w:rsidR="00A11163" w:rsidRPr="004567E2">
                <w:rPr>
                  <w:rStyle w:val="Hyperlink"/>
                  <w:rFonts w:ascii="Times New Roman" w:hAnsi="Times New Roman" w:cs="Times New Roman"/>
                  <w:sz w:val="24"/>
                  <w:szCs w:val="24"/>
                </w:rPr>
                <w:t>Recommendation ITU-T Z.171 “Testing and Test Control Notation version 3: Using JSON with TTCN-3”</w:t>
              </w:r>
            </w:hyperlink>
            <w:r w:rsidR="00A11163" w:rsidRPr="004567E2">
              <w:rPr>
                <w:rStyle w:val="Hyperlink"/>
                <w:rFonts w:ascii="Times New Roman" w:hAnsi="Times New Roman" w:cs="Times New Roman"/>
                <w:color w:val="000000"/>
                <w:sz w:val="24"/>
                <w:szCs w:val="24"/>
                <w:u w:val="none"/>
              </w:rPr>
              <w:t xml:space="preserve"> (under approval) specifies the rules to define schemas for JSON data structures in TTCN 3, to enable testing of JSON-based systems, interfaces and protocols, and the conversion rules between TTCN-3 and JSON to enable exchanging TTCN 3 data in JSON format between different systems.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rPr>
                <w:rStyle w:val="Hyperlink"/>
                <w:rFonts w:ascii="Times New Roman" w:hAnsi="Times New Roman" w:cs="Times New Roman"/>
                <w:color w:val="000000"/>
                <w:sz w:val="24"/>
                <w:szCs w:val="24"/>
                <w:u w:val="none"/>
              </w:rPr>
            </w:pPr>
            <w:hyperlink r:id="rId113" w:history="1">
              <w:r w:rsidR="00A11163" w:rsidRPr="004567E2">
                <w:rPr>
                  <w:rStyle w:val="Hyperlink"/>
                  <w:rFonts w:ascii="Times New Roman" w:hAnsi="Times New Roman" w:cs="Times New Roman"/>
                  <w:sz w:val="24"/>
                  <w:szCs w:val="24"/>
                </w:rPr>
                <w:t>Recommendation ITU-T X.1450 “Guidelines on hybrid authentication and key management mechanisms in the client-server model”</w:t>
              </w:r>
            </w:hyperlink>
            <w:r w:rsidR="00A11163" w:rsidRPr="004567E2">
              <w:rPr>
                <w:rStyle w:val="Hyperlink"/>
                <w:rFonts w:ascii="Times New Roman" w:hAnsi="Times New Roman" w:cs="Times New Roman"/>
                <w:color w:val="000000"/>
                <w:sz w:val="24"/>
                <w:szCs w:val="24"/>
                <w:u w:val="none"/>
              </w:rPr>
              <w:t xml:space="preserve"> provides guidelines for hybrid authentication and key exchange mechanisms in client-server model. The underlying mechanism suggests the use of shared secrets and public key techniques for authentication and key exchange. This Recommendation covers service scenarios, and security threats and methods to mitigate such attacks.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C5</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rPr>
                <w:rFonts w:ascii="Times New Roman" w:hAnsi="Times New Roman" w:cs="Times New Roman"/>
                <w:b/>
                <w:bCs/>
                <w:color w:val="000000"/>
                <w:sz w:val="24"/>
                <w:szCs w:val="24"/>
              </w:rPr>
            </w:pPr>
            <w:hyperlink r:id="rId114" w:tooltip="Interoperability design guidelines for personal health systems" w:history="1">
              <w:r w:rsidR="00A11163" w:rsidRPr="004567E2">
                <w:rPr>
                  <w:rStyle w:val="Hyperlink"/>
                  <w:rFonts w:ascii="Times New Roman" w:hAnsi="Times New Roman" w:cs="Times New Roman"/>
                  <w:sz w:val="24"/>
                  <w:szCs w:val="24"/>
                </w:rPr>
                <w:t>Recommendation ITU-T H.810 “Interoperability design guidelines for personal health systems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defines a framework of underlying standards and criteria required to ensure the interoperability of devices and data used for personal connected health. It also contains design guidelines (DGs) that further clarify the underlying standards or specifications by reducing options or by adding a missing feature to improve interoperability.</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Fonts w:ascii="Times New Roman" w:hAnsi="Times New Roman" w:cs="Times New Roman"/>
                <w:b/>
                <w:bCs/>
                <w:color w:val="000000"/>
                <w:sz w:val="24"/>
                <w:szCs w:val="24"/>
              </w:rPr>
            </w:pPr>
            <w:hyperlink r:id="rId115" w:history="1">
              <w:r w:rsidR="00A11163" w:rsidRPr="004567E2">
                <w:rPr>
                  <w:rStyle w:val="Hyperlink"/>
                  <w:rFonts w:ascii="Times New Roman" w:hAnsi="Times New Roman" w:cs="Times New Roman"/>
                  <w:sz w:val="24"/>
                  <w:szCs w:val="24"/>
                </w:rPr>
                <w:t>Recommendation ITU-T H.811 “Interoperability design guidelines for personal health systems: Personal health devices interface</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specifies the personal health devices interface (PHD-IF).</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Fonts w:ascii="Times New Roman" w:hAnsi="Times New Roman" w:cs="Times New Roman"/>
                <w:b/>
                <w:bCs/>
                <w:color w:val="000000"/>
                <w:sz w:val="24"/>
                <w:szCs w:val="24"/>
              </w:rPr>
            </w:pPr>
            <w:hyperlink r:id="rId116" w:history="1">
              <w:r w:rsidR="00A11163" w:rsidRPr="004567E2">
                <w:rPr>
                  <w:rStyle w:val="Hyperlink"/>
                  <w:rFonts w:ascii="Times New Roman" w:hAnsi="Times New Roman" w:cs="Times New Roman"/>
                  <w:sz w:val="24"/>
                  <w:szCs w:val="24"/>
                </w:rPr>
                <w:t>Recommendation ITU-T H.812 “Interoperability design guidelines for personal health systems: Services interface: Common certified capability class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contains an overview of the Services interface (Services-IF), common design guidelines for all Services-IF Certified Capability Classes (CCC) and the design guidelines for Consent Enabled Personal Health Gateway (PHG) and Services CCCs.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Fonts w:ascii="Times New Roman" w:hAnsi="Times New Roman" w:cs="Times New Roman"/>
                <w:b/>
                <w:bCs/>
                <w:color w:val="000000"/>
                <w:sz w:val="24"/>
                <w:szCs w:val="24"/>
              </w:rPr>
            </w:pPr>
            <w:hyperlink r:id="rId117" w:history="1">
              <w:r w:rsidR="00A11163" w:rsidRPr="004567E2">
                <w:rPr>
                  <w:rStyle w:val="Hyperlink"/>
                  <w:rFonts w:ascii="Times New Roman" w:hAnsi="Times New Roman" w:cs="Times New Roman"/>
                  <w:sz w:val="24"/>
                  <w:szCs w:val="24"/>
                </w:rPr>
                <w:t>Recommendation ITU-T H.812.1 “Interoperability design guidelines for personal health systems: Services interface: Observation upload certified capability class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defines the additional design guidelines for the Observation Upload Certified Capability Class (CCC), whose function is to transfer an observation measurement from a medical device to a services application over the services interface (Services-IF).</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Fonts w:ascii="Times New Roman" w:hAnsi="Times New Roman" w:cs="Times New Roman"/>
                <w:b/>
                <w:bCs/>
                <w:color w:val="000000"/>
                <w:sz w:val="24"/>
                <w:szCs w:val="24"/>
              </w:rPr>
            </w:pPr>
            <w:hyperlink r:id="rId118" w:history="1">
              <w:r w:rsidR="00A11163" w:rsidRPr="004567E2">
                <w:rPr>
                  <w:rStyle w:val="Hyperlink"/>
                  <w:rFonts w:ascii="Times New Roman" w:hAnsi="Times New Roman" w:cs="Times New Roman"/>
                  <w:sz w:val="24"/>
                  <w:szCs w:val="24"/>
                </w:rPr>
                <w:t>Recommendation ITU-T H.812.2 “Interoperability design guidelines for personal health systems: Services interface: Questionnaires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defines design guidelines for the certified capability class (CCC) Questionnaire, the function of which is to enable the interoperable exchange of PROMs (also known as Questionnaires) across the Services-IF of the Continua end-to-end architecture.</w:t>
            </w:r>
            <w:r w:rsidR="00A11163" w:rsidRPr="004567E2">
              <w:rPr>
                <w:rFonts w:ascii="Times New Roman" w:hAnsi="Times New Roman" w:cs="Times New Roman"/>
                <w:sz w:val="24"/>
                <w:szCs w:val="24"/>
              </w:rPr>
              <w:br/>
              <w:t>For the exchange of QFD and QR documents, this Recommendation specifies and profiles the use of the HL7 hData record format and OMG hData REST Binding for RLUS. For security, this Recommendation further profiles the use of OAuth 2.0 and TLS v1.1.</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Fonts w:ascii="Times New Roman" w:hAnsi="Times New Roman" w:cs="Times New Roman"/>
                <w:color w:val="000000"/>
                <w:sz w:val="24"/>
                <w:szCs w:val="24"/>
              </w:rPr>
            </w:pPr>
            <w:hyperlink r:id="rId119" w:history="1">
              <w:r w:rsidR="00A11163" w:rsidRPr="004567E2">
                <w:rPr>
                  <w:rStyle w:val="Hyperlink"/>
                  <w:rFonts w:ascii="Times New Roman" w:hAnsi="Times New Roman" w:cs="Times New Roman"/>
                  <w:sz w:val="24"/>
                  <w:szCs w:val="24"/>
                </w:rPr>
                <w:t>Recommendation ITU-T H.812.3 “Interoperability design guidelines for personal health systems: Services interface: Capability exchange certified capability class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defines the additional design guidelines for the Capability Exchange-enabled PHG and health and fitness services certified capability class (CCC). The purpose of the Capability Exchange is to reduce the amount of information that must be pre-configured on a device in order to obtain plug and play interoperability. Specifically, Capability Exchange enables application hosting devices, such as a personal health gateway (PHG) to know what types of messages it can send to the health and fitness services, by identifying its Continua CCCs. Likewise, Capability </w:t>
            </w:r>
            <w:r w:rsidR="00A11163" w:rsidRPr="004567E2">
              <w:rPr>
                <w:rFonts w:ascii="Times New Roman" w:hAnsi="Times New Roman" w:cs="Times New Roman"/>
                <w:sz w:val="24"/>
                <w:szCs w:val="24"/>
              </w:rPr>
              <w:lastRenderedPageBreak/>
              <w:t>Exchange provides a mechanism for the PHG to inform the health and fitness services of its capabilities. This enables the health and fitness services to tailor its communication with the PHG. Capability Exchange is mandatory for all health and fitness services while it is optional for PHGs.</w:t>
            </w:r>
            <w:r w:rsidR="00A11163" w:rsidRPr="004567E2">
              <w:rPr>
                <w:rFonts w:ascii="Times New Roman" w:hAnsi="Times New Roman" w:cs="Times New Roman"/>
                <w:sz w:val="24"/>
                <w:szCs w:val="24"/>
              </w:rPr>
              <w:br/>
              <w:t>It is assumed that the PHG is pre-provisioned with a URL, or a set of URLs, denoting the service endpoint of one or more health and fitness services. The Capability Exchange process takes place when the PHG first contacts the health and fitness services. It may also take place intermittently, to update the information received in the first Capability Exchange. In most cases, the set of Continua CCCs implemented at the health and fitness services changes slowly, if at all. Therefore, it is expected that the PHG can store the information about services capabilities and optionally, implement a policy for periodically updating that cache. A PHG might identify several health and fitness services in this way and communicate with one or more of these for different purposes.</w:t>
            </w:r>
            <w:r w:rsidR="00A11163" w:rsidRPr="004567E2">
              <w:rPr>
                <w:rFonts w:ascii="Times New Roman" w:hAnsi="Times New Roman" w:cs="Times New Roman"/>
                <w:sz w:val="24"/>
                <w:szCs w:val="24"/>
              </w:rPr>
              <w:br/>
              <w:t>The health and fitness service describes the information about its supported CCCs in a file called "root file". The root file is a special resource that describes the properties of CCCs and how a PHG can start information exchange with these CCCs. The root file and other features of the exchange come from an HL7 standard called hData. hDatas not only defines the root file format, but also defines the operations for exchanging root files, using HTTP using GET and POST operations, often referred to as "REST" (for representational state transfer).</w:t>
            </w:r>
            <w:r w:rsidR="00A11163" w:rsidRPr="004567E2">
              <w:rPr>
                <w:rFonts w:ascii="Times New Roman" w:hAnsi="Times New Roman" w:cs="Times New Roman"/>
                <w:sz w:val="24"/>
                <w:szCs w:val="24"/>
              </w:rPr>
              <w:br/>
              <w:t>Each Continua CCC (in addition to Capability Exchange) will use the root file to document information relevant to that capability, including the capability name, the information that can be exchanged under the capability and its format and URLs for REST operations, if supported by that capability.</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Fonts w:ascii="Times New Roman" w:hAnsi="Times New Roman" w:cs="Times New Roman"/>
                <w:color w:val="000000"/>
                <w:sz w:val="24"/>
                <w:szCs w:val="24"/>
              </w:rPr>
            </w:pPr>
            <w:hyperlink r:id="rId120" w:history="1">
              <w:r w:rsidR="00A11163" w:rsidRPr="004567E2">
                <w:rPr>
                  <w:rStyle w:val="Hyperlink"/>
                  <w:rFonts w:ascii="Times New Roman" w:hAnsi="Times New Roman" w:cs="Times New Roman"/>
                  <w:sz w:val="24"/>
                  <w:szCs w:val="24"/>
                </w:rPr>
                <w:t>Recommendation ITU-T H.812.4 “Interoperability design guidelines for personal health systems: Services interface: Authenticated persistent session capability</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defines the additional design guidelines for the Authenticated Persistent Session (APS), whose function is to provide a secure, long-lived, persistent bidirectional </w:t>
            </w:r>
            <w:r w:rsidR="00A11163" w:rsidRPr="004567E2">
              <w:rPr>
                <w:rFonts w:ascii="Times New Roman" w:hAnsi="Times New Roman" w:cs="Times New Roman"/>
                <w:sz w:val="24"/>
                <w:szCs w:val="24"/>
              </w:rPr>
              <w:lastRenderedPageBreak/>
              <w:t>data channel between the health and fitness services application and a PHG application, suitable for sending unsolicited commands to the PHG or to devices connected via the PHG.</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Fonts w:ascii="Times New Roman" w:hAnsi="Times New Roman" w:cs="Times New Roman"/>
                <w:color w:val="000000"/>
                <w:sz w:val="24"/>
                <w:szCs w:val="24"/>
              </w:rPr>
            </w:pPr>
            <w:hyperlink r:id="rId121" w:history="1">
              <w:r w:rsidR="00A11163" w:rsidRPr="004567E2">
                <w:rPr>
                  <w:rStyle w:val="Hyperlink"/>
                  <w:rFonts w:ascii="Times New Roman" w:hAnsi="Times New Roman" w:cs="Times New Roman"/>
                  <w:sz w:val="24"/>
                  <w:szCs w:val="24"/>
                </w:rPr>
                <w:t>Recommendation ITU-T H.813 “Interoperability design guidelines for personal health systems: Healthcare information system (HIS) interface</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specifies the interface between Services health devices and healthcare information system (HIS) health devices.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Fonts w:ascii="Times New Roman" w:hAnsi="Times New Roman" w:cs="Times New Roman"/>
                <w:color w:val="000000"/>
                <w:sz w:val="24"/>
                <w:szCs w:val="24"/>
              </w:rPr>
            </w:pPr>
            <w:hyperlink r:id="rId122" w:history="1">
              <w:r w:rsidR="00A11163" w:rsidRPr="004567E2">
                <w:rPr>
                  <w:rStyle w:val="Hyperlink"/>
                  <w:rFonts w:ascii="Times New Roman" w:hAnsi="Times New Roman" w:cs="Times New Roman"/>
                  <w:sz w:val="24"/>
                  <w:szCs w:val="24"/>
                </w:rPr>
                <w:t>Recommendation ITU-T H.820 “Conformance of ITU-T H.810 personal health system: Conformity assessment test plan”</w:t>
              </w:r>
            </w:hyperlink>
            <w:r w:rsidR="00A11163" w:rsidRPr="004567E2">
              <w:rPr>
                <w:rStyle w:val="Hyperlink"/>
                <w:rFonts w:ascii="Times New Roman" w:hAnsi="Times New Roman" w:cs="Times New Roman"/>
                <w:color w:val="000000"/>
                <w:sz w:val="24"/>
                <w:szCs w:val="24"/>
                <w:u w:val="none"/>
              </w:rPr>
              <w:t xml:space="preserve"> provides a top-level overview of the test specifications and test profiles used to verify product conformance to the Continua Design Guidelines that are defined in the Recommendations of the ITU-T H.810 sub-series, of which Recommendation ITU-T H.810 (2017) is the base Recommendation. It outlines the scope of the conformance and interoperability tests, test suite structures &amp; test purposes, test case reference list, and the Continua Test Tool, which in turn are specified in details in the Recommendations of the H.820-H.850 series.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23" w:history="1">
              <w:r w:rsidR="00A11163" w:rsidRPr="004567E2">
                <w:rPr>
                  <w:rStyle w:val="Hyperlink"/>
                  <w:rFonts w:ascii="Times New Roman" w:hAnsi="Times New Roman" w:cs="Times New Roman"/>
                  <w:sz w:val="24"/>
                  <w:szCs w:val="24"/>
                </w:rPr>
                <w:t>Recommendation ITU-T H.821 “Conformance of ITU-T H.810 personal health devices: Health record network (HRN) interface</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is a transposition of Continua Health Alliance Test Tool DG 2013, Test Suite Structure &amp; Test Purposes, HRN Interface (Version 1.2, 2014-01-24), that was developed by the Continua Health Alliance, and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24" w:history="1">
              <w:r w:rsidR="00A11163" w:rsidRPr="004567E2">
                <w:rPr>
                  <w:rStyle w:val="Hyperlink"/>
                  <w:rFonts w:ascii="Times New Roman" w:hAnsi="Times New Roman" w:cs="Times New Roman"/>
                  <w:sz w:val="24"/>
                  <w:szCs w:val="24"/>
                </w:rPr>
                <w:t>Recommendation ITU-T H.830.1 “Conformance of ITU-T H.810 personal health devices: WAN interface Part 1: Web services interoperability: Sender</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25" w:history="1">
              <w:r w:rsidR="00A11163" w:rsidRPr="004567E2">
                <w:rPr>
                  <w:rStyle w:val="Hyperlink"/>
                  <w:rFonts w:ascii="Times New Roman" w:hAnsi="Times New Roman" w:cs="Times New Roman"/>
                  <w:sz w:val="24"/>
                  <w:szCs w:val="24"/>
                </w:rPr>
                <w:t>Recommendation ITU-T H.830.2 “Conformance of ITU-T H.810 personal health devices: WAN interface Part 2: Web services interoperability: Receiver</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26" w:history="1">
              <w:r w:rsidR="00A11163" w:rsidRPr="004567E2">
                <w:rPr>
                  <w:rStyle w:val="Hyperlink"/>
                  <w:rFonts w:ascii="Times New Roman" w:hAnsi="Times New Roman" w:cs="Times New Roman"/>
                  <w:sz w:val="24"/>
                  <w:szCs w:val="24"/>
                </w:rPr>
                <w:t>Recommendation ITU-T H.830.3 “Conformance of ITU-T H.810 personal health devices: WAN interface Part 3: SOAP/ATNA: Sender</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27" w:history="1">
              <w:r w:rsidR="00A11163" w:rsidRPr="004567E2">
                <w:rPr>
                  <w:rStyle w:val="Hyperlink"/>
                  <w:rFonts w:ascii="Times New Roman" w:hAnsi="Times New Roman" w:cs="Times New Roman"/>
                  <w:sz w:val="24"/>
                  <w:szCs w:val="24"/>
                </w:rPr>
                <w:t>Recommendation ITU-T H.830.4 “Conformance of ITU-T H.810 personal health devices: WAN interface Part 4: SOAP/ATNA: Receiver</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28" w:history="1">
              <w:r w:rsidR="00A11163" w:rsidRPr="004567E2">
                <w:rPr>
                  <w:rStyle w:val="Hyperlink"/>
                  <w:rFonts w:ascii="Times New Roman" w:hAnsi="Times New Roman" w:cs="Times New Roman"/>
                  <w:sz w:val="24"/>
                  <w:szCs w:val="24"/>
                </w:rPr>
                <w:t>Recommendation ITU-T H.830.5 “Conformance of ITU-T H.810 personal health devices: WAN interface Part 5: PCD-01 HL7 messages: Sender</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29" w:history="1">
              <w:r w:rsidR="00A11163" w:rsidRPr="004567E2">
                <w:rPr>
                  <w:rStyle w:val="Hyperlink"/>
                  <w:rFonts w:ascii="Times New Roman" w:hAnsi="Times New Roman" w:cs="Times New Roman"/>
                  <w:sz w:val="24"/>
                  <w:szCs w:val="24"/>
                </w:rPr>
                <w:t>Recommendation ITU-T H.830.6 “Conformance of ITU-T H.810 personal health devices: WAN interface Part 6: PCD-01 HL7 messages: Receiver</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30" w:history="1">
              <w:r w:rsidR="00A11163" w:rsidRPr="004567E2">
                <w:rPr>
                  <w:rStyle w:val="Hyperlink"/>
                  <w:rFonts w:ascii="Times New Roman" w:hAnsi="Times New Roman" w:cs="Times New Roman"/>
                  <w:sz w:val="24"/>
                  <w:szCs w:val="24"/>
                </w:rPr>
                <w:t>Recommendation ITU-T H.830.7 “Conformance of ITU-T H.810 personal health devices: WAN interface Part 7: Consent management: Sender</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w:t>
            </w:r>
            <w:r w:rsidR="00A11163" w:rsidRPr="004567E2">
              <w:rPr>
                <w:rFonts w:ascii="Times New Roman" w:hAnsi="Times New Roman" w:cs="Times New Roman"/>
                <w:sz w:val="24"/>
                <w:szCs w:val="24"/>
              </w:rPr>
              <w:lastRenderedPageBreak/>
              <w:t>(PICS)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31" w:history="1">
              <w:r w:rsidR="00A11163" w:rsidRPr="004567E2">
                <w:rPr>
                  <w:rStyle w:val="Hyperlink"/>
                  <w:rFonts w:ascii="Times New Roman" w:hAnsi="Times New Roman" w:cs="Times New Roman"/>
                  <w:sz w:val="24"/>
                  <w:szCs w:val="24"/>
                </w:rPr>
                <w:t>Recommendation ITU-T H.830.8 “Conformance of ITU-T H.810 personal health devices: WAN interface Part 8: Consent management: Receiver</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32" w:history="1">
              <w:r w:rsidR="00A11163" w:rsidRPr="004567E2">
                <w:rPr>
                  <w:rStyle w:val="Hyperlink"/>
                  <w:rFonts w:ascii="Times New Roman" w:hAnsi="Times New Roman" w:cs="Times New Roman"/>
                  <w:sz w:val="24"/>
                  <w:szCs w:val="24"/>
                </w:rPr>
                <w:t>Recommendation ITU-T H.830.9 “Conformance of ITU-T H.810 personal health devices: WAN interface Part 9: hData observation upload: Sender</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provides a test suite structure (TSS) and the test purposes (TPs) for the WAN interface (consent management; sender) based on the requirements defined in Recommendation ITU</w:t>
            </w:r>
            <w:r w:rsidR="00A11163" w:rsidRPr="004567E2">
              <w:rPr>
                <w:rFonts w:ascii="Times New Roman" w:hAnsi="Times New Roman" w:cs="Times New Roman"/>
                <w:sz w:val="24"/>
                <w:szCs w:val="24"/>
              </w:rPr>
              <w:noBreakHyphen/>
              <w:t>T H.810 (2015). The objective of this test specification is to provide a high probability of air interface interoperability between different devices.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33" w:history="1">
              <w:r w:rsidR="00A11163" w:rsidRPr="004567E2">
                <w:rPr>
                  <w:rStyle w:val="Hyperlink"/>
                  <w:rFonts w:ascii="Times New Roman" w:hAnsi="Times New Roman" w:cs="Times New Roman"/>
                  <w:sz w:val="24"/>
                  <w:szCs w:val="24"/>
                </w:rPr>
                <w:t>Recommendation ITU-T H.830.10 “Conformance of ITU-T H.810 personal health devices: WAN interface Part 10: hData observation upload: Receiver</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provides a test suite structure (TSS) and the test purposes (TPs) for the WAN interface (consent management; receiver) based on the requirements defined in Recommendation ITU-T H.810 (2015). The objective of this test specification is to provide a high probability of air interface interoperability between different devices.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34" w:history="1">
              <w:r w:rsidR="00A11163" w:rsidRPr="004567E2">
                <w:rPr>
                  <w:rStyle w:val="Hyperlink"/>
                  <w:rFonts w:ascii="Times New Roman" w:hAnsi="Times New Roman" w:cs="Times New Roman"/>
                  <w:sz w:val="24"/>
                  <w:szCs w:val="24"/>
                </w:rPr>
                <w:t>Recommendation ITU-T H.830.11 “Conformance of ITU-T H.810 personal health devices: WAN interface Part 11: Questionnaires: Sender</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provides a test suite structure and the test purposes for the WAN interface (consent management; sender) based on the requirements defined in Recommendation ITU</w:t>
            </w:r>
            <w:r w:rsidR="00A11163" w:rsidRPr="004567E2">
              <w:rPr>
                <w:rFonts w:ascii="Times New Roman" w:hAnsi="Times New Roman" w:cs="Times New Roman"/>
                <w:sz w:val="24"/>
                <w:szCs w:val="24"/>
              </w:rPr>
              <w:noBreakHyphen/>
              <w:t>T H.810 (2015). The objective of this test specification is to provide a high probability of air interface interoperability between different devices.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35" w:history="1">
              <w:r w:rsidR="00A11163" w:rsidRPr="004567E2">
                <w:rPr>
                  <w:rStyle w:val="Hyperlink"/>
                  <w:rFonts w:ascii="Times New Roman" w:hAnsi="Times New Roman" w:cs="Times New Roman"/>
                  <w:sz w:val="24"/>
                  <w:szCs w:val="24"/>
                </w:rPr>
                <w:t>Recommendation ITU-T H.830.12 “Conformance of ITU-T H.810 personal health devices: WAN interface Part 12: Questionnaires: Receiver</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provides a test suite structure and the test purposes for the WAN interface (consent management; </w:t>
            </w:r>
            <w:r w:rsidR="00A11163" w:rsidRPr="004567E2">
              <w:rPr>
                <w:rFonts w:ascii="Times New Roman" w:hAnsi="Times New Roman" w:cs="Times New Roman"/>
                <w:sz w:val="24"/>
                <w:szCs w:val="24"/>
              </w:rPr>
              <w:lastRenderedPageBreak/>
              <w:t>receiver) based on the requirements defined in Recommendation ITU-T H.810 (2015). The objective of this test specification is to provide a high probability of air interface interoperability between different devices.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36" w:history="1">
              <w:r w:rsidR="00A11163" w:rsidRPr="004567E2">
                <w:rPr>
                  <w:rStyle w:val="Hyperlink"/>
                  <w:rFonts w:ascii="Times New Roman" w:hAnsi="Times New Roman" w:cs="Times New Roman"/>
                  <w:sz w:val="24"/>
                  <w:szCs w:val="24"/>
                </w:rPr>
                <w:t>Recommendation ITU-T H.830.13 “Conformance of ITU-T H.810 personal health system: Services interface Part 13: Capability Exchange: Health &amp; Fitness Service sender”</w:t>
              </w:r>
            </w:hyperlink>
            <w:r w:rsidR="00A11163" w:rsidRPr="004567E2">
              <w:rPr>
                <w:rStyle w:val="Hyperlink"/>
                <w:rFonts w:ascii="Times New Roman" w:hAnsi="Times New Roman" w:cs="Times New Roman"/>
                <w:color w:val="000000"/>
                <w:sz w:val="24"/>
                <w:szCs w:val="24"/>
                <w:u w:val="none"/>
              </w:rPr>
              <w:t xml:space="preserve"> provides a test suite structure (TSS) and the test procedures (TP) for Capability Exchange through the Health &amp; Fitness Service (HFS) sender in the Services interface, based on the requirements defined in the Recommendations of the ITU-T H.810 sub-series, of which Recommendation ITU-T H.810 (2017) is the base Recommendation. The objective of this test specification is to provide a high probability of interoperability at this interface. This Recommendation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37" w:history="1">
              <w:r w:rsidR="00A11163" w:rsidRPr="004567E2">
                <w:rPr>
                  <w:rStyle w:val="Hyperlink"/>
                  <w:rFonts w:ascii="Times New Roman" w:hAnsi="Times New Roman" w:cs="Times New Roman"/>
                  <w:sz w:val="24"/>
                  <w:szCs w:val="24"/>
                </w:rPr>
                <w:t>Recommendation ITU-T H.830.14 “Conformance of ITU-T H.810 personal health system: Services interface Part 14: Capability Exchange: Health &amp; Fitness Service receiver”</w:t>
              </w:r>
            </w:hyperlink>
            <w:r w:rsidR="00A11163" w:rsidRPr="004567E2">
              <w:rPr>
                <w:rStyle w:val="Hyperlink"/>
                <w:rFonts w:ascii="Times New Roman" w:hAnsi="Times New Roman" w:cs="Times New Roman"/>
                <w:color w:val="000000"/>
                <w:sz w:val="24"/>
                <w:szCs w:val="24"/>
                <w:u w:val="none"/>
              </w:rPr>
              <w:t xml:space="preserve"> provides a test suite structure (TSS) and the test procedures (TP) for Capability Exchange through the Health &amp; Fitness Service (HFS) receiver in the Services interface, based on the requirements defined in the Recommendations of the ITU-T H.810 sub-series, of which Recommendation ITU-T H.810 (2017) is the base Recommendation. The objective of this test specification is to provide a high probability of interoperability at this interface. This Recommendation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38" w:history="1">
              <w:r w:rsidR="00A11163" w:rsidRPr="004567E2">
                <w:rPr>
                  <w:rStyle w:val="Hyperlink"/>
                  <w:rFonts w:ascii="Times New Roman" w:hAnsi="Times New Roman" w:cs="Times New Roman"/>
                  <w:sz w:val="24"/>
                  <w:szCs w:val="24"/>
                </w:rPr>
                <w:t>Recommendation ITU-T H.830.15 “Conformance of ITU-T H.810 personal health system: Services interface Part 15: FHIR Observation Upload: Health &amp; Fitness Service sender”</w:t>
              </w:r>
            </w:hyperlink>
            <w:r w:rsidR="00A11163" w:rsidRPr="004567E2">
              <w:rPr>
                <w:rStyle w:val="Hyperlink"/>
                <w:rFonts w:ascii="Times New Roman" w:hAnsi="Times New Roman" w:cs="Times New Roman"/>
                <w:color w:val="000000"/>
                <w:sz w:val="24"/>
                <w:szCs w:val="24"/>
                <w:u w:val="none"/>
              </w:rPr>
              <w:t xml:space="preserve"> provides a test suite structure (TSS) and the test procedures (TP) for FHIR Observation Upload through the Health &amp; Fitness Service (HFS) sender </w:t>
            </w:r>
            <w:r w:rsidR="00A11163" w:rsidRPr="004567E2">
              <w:rPr>
                <w:rStyle w:val="Hyperlink"/>
                <w:rFonts w:ascii="Times New Roman" w:hAnsi="Times New Roman" w:cs="Times New Roman"/>
                <w:color w:val="000000"/>
                <w:sz w:val="24"/>
                <w:szCs w:val="24"/>
                <w:u w:val="none"/>
              </w:rPr>
              <w:lastRenderedPageBreak/>
              <w:t>in the Services interface, based on the requirements defined in the Recommendations of the ITU-T H.810 sub-series, of which Recommendation ITU-T H.810 (2017) is the base Recommendation. The objective of this test specification is to provide a high probability of interoperability at this interface. This Recommendation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39" w:history="1">
              <w:r w:rsidR="00A11163" w:rsidRPr="004567E2">
                <w:rPr>
                  <w:rStyle w:val="Hyperlink"/>
                  <w:rFonts w:ascii="Times New Roman" w:hAnsi="Times New Roman" w:cs="Times New Roman"/>
                  <w:sz w:val="24"/>
                  <w:szCs w:val="24"/>
                </w:rPr>
                <w:t>Recommendation ITU-T H.830.16 “Conformance of ITU-T H.810 personal health system: Services interface Part 16: FHIR Observation Upload: Health &amp; Fitness Service receiver”</w:t>
              </w:r>
            </w:hyperlink>
            <w:r w:rsidR="00A11163" w:rsidRPr="004567E2">
              <w:rPr>
                <w:rStyle w:val="Hyperlink"/>
                <w:rFonts w:ascii="Times New Roman" w:hAnsi="Times New Roman" w:cs="Times New Roman"/>
                <w:color w:val="000000"/>
                <w:sz w:val="24"/>
                <w:szCs w:val="24"/>
                <w:u w:val="none"/>
              </w:rPr>
              <w:t xml:space="preserve"> provides a test suite structure (TSS) and the test procedures (TP) for FHIR Observation Upload through the Health &amp; Fitness Service (HFS) receiver in the Services interface, based on the requirements defined in the Recommendations of the ITU-T H.810 sub-series, of which Recommendation ITU-T H.810 (2017) is the base Recommendation. The objective of this test specification is to provide a high probability of interoperability at this interface. This Recommendation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40" w:history="1">
              <w:r w:rsidR="00A11163" w:rsidRPr="004567E2">
                <w:rPr>
                  <w:rStyle w:val="Hyperlink"/>
                  <w:rFonts w:ascii="Times New Roman" w:hAnsi="Times New Roman" w:cs="Times New Roman"/>
                  <w:sz w:val="24"/>
                  <w:szCs w:val="24"/>
                </w:rPr>
                <w:t>Recommendation ITU-T H.840 “Conformance of ITU-T H.810 personal health devices: PAN/LAN/TAN: USB host</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41" w:history="1">
              <w:r w:rsidR="00A11163" w:rsidRPr="004567E2">
                <w:rPr>
                  <w:rStyle w:val="Hyperlink"/>
                  <w:rFonts w:ascii="Times New Roman" w:hAnsi="Times New Roman" w:cs="Times New Roman"/>
                  <w:sz w:val="24"/>
                  <w:szCs w:val="24"/>
                </w:rPr>
                <w:t>Recommendation ITU-T H.841 “Conformance of ITU-T H.810 personal health devices: PAN/LAN/TAN interface Part 1: Optimized exchange protocol: Agent</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42" w:history="1">
              <w:r w:rsidR="00A11163" w:rsidRPr="004567E2">
                <w:rPr>
                  <w:rStyle w:val="Hyperlink"/>
                  <w:rFonts w:ascii="Times New Roman" w:hAnsi="Times New Roman" w:cs="Times New Roman"/>
                  <w:sz w:val="24"/>
                  <w:szCs w:val="24"/>
                </w:rPr>
                <w:t>Recommendation ITU-T H.842 “Conformance of ITU-T H.810 personal health devices: PAN/LAN/TAN interface Part 2: Optimized exchange protocol: Manager</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43" w:history="1">
              <w:r w:rsidR="00A11163" w:rsidRPr="004567E2">
                <w:rPr>
                  <w:rStyle w:val="Hyperlink"/>
                  <w:rFonts w:ascii="Times New Roman" w:hAnsi="Times New Roman" w:cs="Times New Roman"/>
                  <w:sz w:val="24"/>
                  <w:szCs w:val="24"/>
                </w:rPr>
                <w:t>Recommendation ITU-T H.843 “Conformance of ITU-T H.810 personal health devices: PAN/LAN/TAN interface Part 3: Continua Design Guidelines: Agent</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44" w:history="1">
              <w:r w:rsidR="00A11163" w:rsidRPr="004567E2">
                <w:rPr>
                  <w:rStyle w:val="Hyperlink"/>
                  <w:rFonts w:ascii="Times New Roman" w:hAnsi="Times New Roman" w:cs="Times New Roman"/>
                  <w:sz w:val="24"/>
                  <w:szCs w:val="24"/>
                </w:rPr>
                <w:t>Recommendation ITU-T H.844 “Conformance of ITU-T H.810 personal health devices: PAN/LAN/TAN interface Part 5D: Blood pressure monitor: Agent</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45" w:history="1">
              <w:r w:rsidR="00A11163" w:rsidRPr="004567E2">
                <w:rPr>
                  <w:rStyle w:val="Hyperlink"/>
                  <w:rFonts w:ascii="Times New Roman" w:hAnsi="Times New Roman" w:cs="Times New Roman"/>
                  <w:sz w:val="24"/>
                  <w:szCs w:val="24"/>
                </w:rPr>
                <w:t>Recommendation ITU-T H.845.1 “Conformance of ITU-T H.810 personal health devices: PAN/LAN/TAN interface Part 5A: Weighing scales: Agent</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46" w:history="1">
              <w:r w:rsidR="00A11163" w:rsidRPr="004567E2">
                <w:rPr>
                  <w:rStyle w:val="Hyperlink"/>
                  <w:rFonts w:ascii="Times New Roman" w:hAnsi="Times New Roman" w:cs="Times New Roman"/>
                  <w:sz w:val="24"/>
                  <w:szCs w:val="24"/>
                </w:rPr>
                <w:t>Recommendation ITU-T H.845.2 “Conformance of ITU-T H.810 personal health devices: PAN/LAN/TAN interface Part 5B: Glucose meter: Agent</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47" w:history="1">
              <w:r w:rsidR="00A11163" w:rsidRPr="004567E2">
                <w:rPr>
                  <w:rStyle w:val="Hyperlink"/>
                  <w:rFonts w:ascii="Times New Roman" w:hAnsi="Times New Roman" w:cs="Times New Roman"/>
                  <w:sz w:val="24"/>
                  <w:szCs w:val="24"/>
                </w:rPr>
                <w:t>Recommendation ITU-T H.845.3 “Conformance of ITU-T H.810 personal health devices: PAN/LAN/TAN interface Part 5C: Pulse oximeter: Agent</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w:t>
            </w:r>
            <w:r w:rsidR="00A11163" w:rsidRPr="004567E2">
              <w:rPr>
                <w:rFonts w:ascii="Times New Roman" w:hAnsi="Times New Roman" w:cs="Times New Roman"/>
                <w:sz w:val="24"/>
                <w:szCs w:val="24"/>
              </w:rPr>
              <w:lastRenderedPageBreak/>
              <w:t>(PICS)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48" w:history="1">
              <w:r w:rsidR="00A11163" w:rsidRPr="004567E2">
                <w:rPr>
                  <w:rStyle w:val="Hyperlink"/>
                  <w:rFonts w:ascii="Times New Roman" w:hAnsi="Times New Roman" w:cs="Times New Roman"/>
                  <w:sz w:val="24"/>
                  <w:szCs w:val="24"/>
                </w:rPr>
                <w:t>Recommendation ITU-T H.845.4 “Conformance of ITU-T H.810 personal health devices: PAN/LAN/TAN interface Part 5D: Blood pressure monitor: Agent</w:t>
              </w:r>
            </w:hyperlink>
            <w:r w:rsidR="00A11163" w:rsidRPr="004567E2">
              <w:rPr>
                <w:rStyle w:val="Hyperlink"/>
                <w:rFonts w:ascii="Times New Roman" w:hAnsi="Times New Roman" w:cs="Times New Roman"/>
                <w:sz w:val="24"/>
                <w:szCs w:val="24"/>
              </w:rPr>
              <w:t xml:space="preserve">” </w:t>
            </w:r>
            <w:r w:rsidR="00A11163" w:rsidRPr="004567E2">
              <w:rPr>
                <w:rFonts w:ascii="Times New Roman" w:hAnsi="Times New Roman" w:cs="Times New Roman"/>
                <w:sz w:val="24"/>
                <w:szCs w:val="24"/>
              </w:rPr>
              <w:t>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49" w:history="1">
              <w:r w:rsidR="00A11163" w:rsidRPr="004567E2">
                <w:rPr>
                  <w:rStyle w:val="Hyperlink"/>
                  <w:rFonts w:ascii="Times New Roman" w:hAnsi="Times New Roman" w:cs="Times New Roman"/>
                  <w:sz w:val="24"/>
                  <w:szCs w:val="24"/>
                </w:rPr>
                <w:t>Recommendation ITU-T H.845.5 “Conformance of ITU-T H.810 personal health devices: PAN/LAN/TAN interface Part 5E: Thermometer: Agent</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50" w:history="1">
              <w:r w:rsidR="00A11163" w:rsidRPr="004567E2">
                <w:rPr>
                  <w:rStyle w:val="Hyperlink"/>
                  <w:rFonts w:ascii="Times New Roman" w:hAnsi="Times New Roman" w:cs="Times New Roman"/>
                  <w:sz w:val="24"/>
                  <w:szCs w:val="24"/>
                </w:rPr>
                <w:t>Recommendation ITU-T H.845.6 “Conformance of ITU-T H.810 personal health devices: PAN/LAN/TAN interface Part 5F: Cardiovascular fitness and activity monitor: Agent</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51" w:history="1">
              <w:r w:rsidR="00A11163" w:rsidRPr="004567E2">
                <w:rPr>
                  <w:rStyle w:val="Hyperlink"/>
                  <w:rFonts w:ascii="Times New Roman" w:hAnsi="Times New Roman" w:cs="Times New Roman"/>
                  <w:sz w:val="24"/>
                  <w:szCs w:val="24"/>
                </w:rPr>
                <w:t>Recommendation ITU-T H.845.7 “Conformance of ITU-T H.810 personal health devices: PAN/LAN/TAN interface Part 5G: Strength fitness equipment: Agent</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52" w:history="1">
              <w:r w:rsidR="00A11163" w:rsidRPr="004567E2">
                <w:rPr>
                  <w:rStyle w:val="Hyperlink"/>
                  <w:rFonts w:ascii="Times New Roman" w:hAnsi="Times New Roman" w:cs="Times New Roman"/>
                  <w:sz w:val="24"/>
                  <w:szCs w:val="24"/>
                </w:rPr>
                <w:t>Recommendation ITU-T H.845.8 “Conformance of ITU-T H.810 personal health devices: PAN/LAN/TAN interface Part 5H: Independent living activity hub: Agent</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53" w:history="1">
              <w:r w:rsidR="00A11163" w:rsidRPr="004567E2">
                <w:rPr>
                  <w:rStyle w:val="Hyperlink"/>
                  <w:rFonts w:ascii="Times New Roman" w:hAnsi="Times New Roman" w:cs="Times New Roman"/>
                  <w:sz w:val="24"/>
                  <w:szCs w:val="24"/>
                </w:rPr>
                <w:t>Recommendation ITU-T H.845.9 “Conformance of ITU-T H.810 personal health devices: PAN/LAN/TAN interface Part 5I: Medication adherence monitor: Agent</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w:t>
            </w:r>
            <w:r w:rsidR="00A11163" w:rsidRPr="004567E2">
              <w:rPr>
                <w:rFonts w:ascii="Times New Roman" w:hAnsi="Times New Roman" w:cs="Times New Roman"/>
                <w:sz w:val="24"/>
                <w:szCs w:val="24"/>
              </w:rPr>
              <w:lastRenderedPageBreak/>
              <w:t>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rPr>
                <w:rStyle w:val="Hyperlink"/>
                <w:rFonts w:ascii="Times New Roman" w:hAnsi="Times New Roman" w:cs="Times New Roman"/>
                <w:color w:val="auto"/>
                <w:sz w:val="24"/>
                <w:szCs w:val="24"/>
                <w:u w:val="none"/>
              </w:rPr>
            </w:pPr>
            <w:hyperlink r:id="rId154" w:history="1">
              <w:r w:rsidR="00A11163" w:rsidRPr="004567E2">
                <w:rPr>
                  <w:rStyle w:val="Hyperlink"/>
                  <w:rFonts w:ascii="Times New Roman" w:hAnsi="Times New Roman" w:cs="Times New Roman"/>
                  <w:sz w:val="24"/>
                  <w:szCs w:val="24"/>
                </w:rPr>
                <w:t>Recommendation ITU-T H.845.10 “Conformance of ITU-T H.810 personal health system: Personal Health Devices interface Part 5I: Insulin Pump”</w:t>
              </w:r>
            </w:hyperlink>
            <w:r w:rsidR="00A11163" w:rsidRPr="004567E2">
              <w:rPr>
                <w:rFonts w:ascii="Times New Roman" w:hAnsi="Times New Roman" w:cs="Times New Roman"/>
                <w:sz w:val="24"/>
                <w:szCs w:val="24"/>
              </w:rPr>
              <w:t xml:space="preserve"> provides a test suite structure and the test purposes for the insulin pump agent in the Personal Health Devices interface of the ITU-T H.810 architecture [ITU-T H.810]. The objective of this test specification is to provide a high probability of air interface interoperability between different devices. This Recommendation is a transposition of Continua Test Tool DG2016, Continua Test Tool DG2016, Test Suite Structure &amp; Test Purposes, Personal Health Devices Interface, Part 5J: Device specializations, Personal health device – Insulin Pump (IP), Version 1.0 (2016-09-20).</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55" w:history="1">
              <w:r w:rsidR="00A11163" w:rsidRPr="004567E2">
                <w:rPr>
                  <w:rStyle w:val="Hyperlink"/>
                  <w:rFonts w:ascii="Times New Roman" w:hAnsi="Times New Roman" w:cs="Times New Roman"/>
                  <w:sz w:val="24"/>
                  <w:szCs w:val="24"/>
                </w:rPr>
                <w:t>Recommendation ITU-T H.845.11 “Conformance of ITU-T H.810 personal health devices: PAN/LAN/TAN interface Part 5K: Peak expiratory flow monitor: Agent</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56" w:history="1">
              <w:r w:rsidR="00A11163" w:rsidRPr="004567E2">
                <w:rPr>
                  <w:rStyle w:val="Hyperlink"/>
                  <w:rFonts w:ascii="Times New Roman" w:hAnsi="Times New Roman" w:cs="Times New Roman"/>
                  <w:sz w:val="24"/>
                  <w:szCs w:val="24"/>
                </w:rPr>
                <w:t>Recommendation ITU-T H.845.12 “Conformance of ITU-T H.810 personal health devices: PAN/LAN/TAN interface Part 5L: Body composition analyser: Agent</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57" w:history="1">
              <w:r w:rsidR="00A11163" w:rsidRPr="004567E2">
                <w:rPr>
                  <w:rStyle w:val="Hyperlink"/>
                  <w:rFonts w:ascii="Times New Roman" w:hAnsi="Times New Roman" w:cs="Times New Roman"/>
                  <w:sz w:val="24"/>
                  <w:szCs w:val="24"/>
                </w:rPr>
                <w:t>Recommendation ITU-T H.845.13 “Conformance of ITU-T H.810 personal health devices: PAN/LAN/TAN interface Part 5M: Basic electrocardiograph: Agent</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58" w:history="1">
              <w:r w:rsidR="00A11163" w:rsidRPr="004567E2">
                <w:rPr>
                  <w:rStyle w:val="Hyperlink"/>
                  <w:rFonts w:ascii="Times New Roman" w:hAnsi="Times New Roman" w:cs="Times New Roman"/>
                  <w:sz w:val="24"/>
                  <w:szCs w:val="24"/>
                </w:rPr>
                <w:t>Recommendation ITU-T H.845.14 “Conformance of ITU-T H.810 personal health devices: PAN/LAN/TAN interface Part 5N: International normalized ratio: Agent</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59" w:history="1">
              <w:r w:rsidR="00A11163" w:rsidRPr="004567E2">
                <w:rPr>
                  <w:rStyle w:val="Hyperlink"/>
                  <w:rFonts w:ascii="Times New Roman" w:hAnsi="Times New Roman" w:cs="Times New Roman"/>
                  <w:sz w:val="24"/>
                  <w:szCs w:val="24"/>
                </w:rPr>
                <w:t>Recommendation ITU-T H.845.15 “Conformance of ITU-T H.810 personal health devices: PAN/LAN/TAN interface Part 5O: Sleep apnoea breathing therapy equipment: Agent</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provides a test suite structure and the test purposes for the PAN/LAN/TAN interface (Sleep apnoea breathing therapy equipment: Agent) based on the requirements defined in Recommendation ITU-T H.810 (2015). The objective of this test specification is to provide a high probability of air interface interoperability between different devices.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rPr>
                <w:rStyle w:val="Hyperlink"/>
                <w:rFonts w:ascii="Times New Roman" w:hAnsi="Times New Roman" w:cs="Times New Roman"/>
                <w:color w:val="auto"/>
                <w:sz w:val="24"/>
                <w:szCs w:val="24"/>
                <w:u w:val="none"/>
              </w:rPr>
            </w:pPr>
            <w:hyperlink r:id="rId160" w:history="1">
              <w:r w:rsidR="00A11163" w:rsidRPr="004567E2">
                <w:rPr>
                  <w:rStyle w:val="Hyperlink"/>
                  <w:rFonts w:ascii="Times New Roman" w:hAnsi="Times New Roman" w:cs="Times New Roman"/>
                  <w:sz w:val="24"/>
                  <w:szCs w:val="24"/>
                </w:rPr>
                <w:t>Recommendation ITU-T H.845.16 “Conformance of ITU-T H.810 personal health system: Personal Health Devices interface Part 5P: Continuous glucose monitor”</w:t>
              </w:r>
            </w:hyperlink>
            <w:r w:rsidR="00A11163" w:rsidRPr="004567E2">
              <w:rPr>
                <w:rFonts w:ascii="Times New Roman" w:hAnsi="Times New Roman" w:cs="Times New Roman"/>
                <w:sz w:val="24"/>
                <w:szCs w:val="24"/>
              </w:rPr>
              <w:t xml:space="preserve"> provides a test suite structure and the test purposes for the continuous glucose monitor in the Personal Health Devices interface of the ITU-T H.810 architecture [ITU-T H.810]. The objective of this test specification is to provide a high probability of air interface interoperability between different devices. This Recommendation is a transposition of Continua Test Tool DG2016, Continua Test Tool DG2016, Test Suite Structure &amp; Test Purposes, Personal Health Devices Interface, Part 5P: Device Specializations. Personal Health Device, Continuous Glucose Monitor (CGM), Version 1.0 (2016-09-20). This Recommendation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61" w:history="1">
              <w:r w:rsidR="00A11163" w:rsidRPr="004567E2">
                <w:rPr>
                  <w:rStyle w:val="Hyperlink"/>
                  <w:rFonts w:ascii="Times New Roman" w:hAnsi="Times New Roman" w:cs="Times New Roman"/>
                  <w:sz w:val="24"/>
                  <w:szCs w:val="24"/>
                </w:rPr>
                <w:t>Recommendation ITU-T H.845.17 “Conformance of ITU-T H.810 personal health system: Personal Health Devices interface Part 5Q: Power status monitor”</w:t>
              </w:r>
            </w:hyperlink>
            <w:r w:rsidR="00A11163" w:rsidRPr="004567E2">
              <w:rPr>
                <w:rStyle w:val="Hyperlink"/>
                <w:rFonts w:ascii="Times New Roman" w:hAnsi="Times New Roman" w:cs="Times New Roman"/>
                <w:color w:val="000000"/>
                <w:sz w:val="24"/>
                <w:szCs w:val="24"/>
                <w:u w:val="none"/>
              </w:rPr>
              <w:t xml:space="preserve"> provides a test suite structure (TSS) and the test purposes (TP) for the power status monitor of personal health devices in the Personal Health Device (PHD) interface, based on </w:t>
            </w:r>
            <w:r w:rsidR="00A11163" w:rsidRPr="004567E2">
              <w:rPr>
                <w:rStyle w:val="Hyperlink"/>
                <w:rFonts w:ascii="Times New Roman" w:hAnsi="Times New Roman" w:cs="Times New Roman"/>
                <w:color w:val="000000"/>
                <w:sz w:val="24"/>
                <w:szCs w:val="24"/>
                <w:u w:val="none"/>
              </w:rPr>
              <w:lastRenderedPageBreak/>
              <w:t>the requirements defined in the Recommendations of the ITU-T H.810 sub-series, of which Recommendation ITU-T H.810 (2017) is the base Recommendation. The objective of this test specification is to provide a high probability of interoperability at this interface. This Recommendation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62" w:history="1">
              <w:r w:rsidR="00A11163" w:rsidRPr="004567E2">
                <w:rPr>
                  <w:rStyle w:val="Hyperlink"/>
                  <w:rFonts w:ascii="Times New Roman" w:hAnsi="Times New Roman" w:cs="Times New Roman"/>
                  <w:sz w:val="24"/>
                  <w:szCs w:val="24"/>
                </w:rPr>
                <w:t>Recommendation ITU-T H.846: Conformance of ITU-T H.810 personal health devices: PAN/LAN/TAN interface Part 6: Device specializations: Manager</w:t>
              </w:r>
            </w:hyperlink>
            <w:r w:rsidR="00A11163" w:rsidRPr="004567E2">
              <w:rPr>
                <w:rFonts w:ascii="Times New Roman" w:hAnsi="Times New Roman" w:cs="Times New Roman"/>
                <w:sz w:val="24"/>
                <w:szCs w:val="24"/>
              </w:rPr>
              <w:t xml:space="preserve"> provides the test suite structure and test purposes (TSS &amp; TP) for the PAN/LAN/TAN interface based on the requirements defined in Continua specifications. The objective of this test specification is to provide a high probability of air interface interoperability between different devices.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63" w:history="1">
              <w:r w:rsidR="00A11163" w:rsidRPr="004567E2">
                <w:rPr>
                  <w:rStyle w:val="Hyperlink"/>
                  <w:rFonts w:ascii="Times New Roman" w:hAnsi="Times New Roman" w:cs="Times New Roman"/>
                  <w:sz w:val="24"/>
                  <w:szCs w:val="24"/>
                </w:rPr>
                <w:t>Recommendation ITU-T H.847 “Conformance of ITU-T H.810 personal health devices: PAN/LAN/TAN interface Part 7: Bluetooth low energy (BLE): Agent</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64" w:history="1">
              <w:r w:rsidR="00A11163" w:rsidRPr="004567E2">
                <w:rPr>
                  <w:rStyle w:val="Hyperlink"/>
                  <w:rFonts w:ascii="Times New Roman" w:hAnsi="Times New Roman" w:cs="Times New Roman"/>
                  <w:sz w:val="24"/>
                  <w:szCs w:val="24"/>
                </w:rPr>
                <w:t>Recommendation ITU-T H.848 “Conformance of ITU-T H.810 personal health devices: PAN/LAN/TAN interface Part 8: Bluetooth low energy (BLE): Manager</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65" w:history="1">
              <w:r w:rsidR="00A11163" w:rsidRPr="004567E2">
                <w:rPr>
                  <w:rStyle w:val="Hyperlink"/>
                  <w:rFonts w:ascii="Times New Roman" w:hAnsi="Times New Roman" w:cs="Times New Roman"/>
                  <w:sz w:val="24"/>
                  <w:szCs w:val="24"/>
                </w:rPr>
                <w:t>Recommendation ITU-T H.849 “Conformance of ITU-T H.810 personal health devices: PAN/LAN/TAN interface Part 9: Transcoding for Bluetooth low energy (BLE): Agent</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66" w:history="1">
              <w:r w:rsidR="00A11163" w:rsidRPr="004567E2">
                <w:rPr>
                  <w:rStyle w:val="Hyperlink"/>
                  <w:rFonts w:ascii="Times New Roman" w:hAnsi="Times New Roman" w:cs="Times New Roman"/>
                  <w:sz w:val="24"/>
                  <w:szCs w:val="24"/>
                </w:rPr>
                <w:t>Recommendation ITU-T H.850 “Conformance of ITU-T H.810 personal health devices: PAN/LAN/TAN interface Part 10: Transcoding for Bluetooth low energy (BLE): Manager</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an electronic attachment with the protocol implementation conformance statements (PICS) and the protocol implementation extra information for testing (PIXIT) required for the implementation of Annex A.</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67" w:history="1">
              <w:r w:rsidR="00A11163" w:rsidRPr="004567E2">
                <w:rPr>
                  <w:rStyle w:val="Hyperlink"/>
                  <w:rFonts w:ascii="Times New Roman" w:hAnsi="Times New Roman" w:cs="Times New Roman"/>
                  <w:sz w:val="24"/>
                  <w:szCs w:val="24"/>
                </w:rPr>
                <w:t>Recommendation ITU-T H.860 “Multimedia e-health data exchange services: Data schema and supporting services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specifies a common health schema applicable to a wide range of health systems – e.g., clinical and wellness – and describes the supporting services and systems architecture for a health data exchange that allows an exchange of multimedia health data between a health provider, a controlling function and a patient. The services this Recommendation describes include both point-of-care and personal healthcare services.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68" w:history="1">
              <w:r w:rsidR="00A11163" w:rsidRPr="004567E2">
                <w:rPr>
                  <w:rStyle w:val="Hyperlink"/>
                  <w:rFonts w:ascii="Times New Roman" w:hAnsi="Times New Roman" w:cs="Times New Roman"/>
                  <w:sz w:val="24"/>
                  <w:szCs w:val="24"/>
                </w:rPr>
                <w:t>Recommendation ITU-T H.861.0 “Requirements on communication platform for multimedia brain information”</w:t>
              </w:r>
            </w:hyperlink>
            <w:r w:rsidR="00A11163" w:rsidRPr="004567E2">
              <w:rPr>
                <w:rFonts w:ascii="Times New Roman" w:hAnsi="Times New Roman" w:cs="Times New Roman"/>
                <w:color w:val="000000"/>
                <w:sz w:val="24"/>
                <w:szCs w:val="24"/>
              </w:rPr>
              <w:t xml:space="preserve"> describes a conceptual ecosystem intended to exchange brain data based on the communication platform requirements and definitions. Starting from a background of the brain data exchange in the context of e-health, a functional framework model for multimedia brain information platform (MBI-PF) is outlined. This model is then developed into a set of communication platform which enable not only experts but also non-experts to utilize brain data for monitoring and maintaining health status of brain.</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69" w:history="1">
              <w:r w:rsidR="00A11163" w:rsidRPr="004567E2">
                <w:rPr>
                  <w:rStyle w:val="Hyperlink"/>
                  <w:rFonts w:ascii="Times New Roman" w:hAnsi="Times New Roman" w:cs="Times New Roman"/>
                  <w:sz w:val="24"/>
                  <w:szCs w:val="24"/>
                </w:rPr>
                <w:t>Recommendation ITU-T H.861.1 “Requirements on establishing brain healthcare quotients”</w:t>
              </w:r>
            </w:hyperlink>
            <w:r w:rsidR="00A11163" w:rsidRPr="004567E2">
              <w:rPr>
                <w:rFonts w:ascii="Times New Roman" w:hAnsi="Times New Roman" w:cs="Times New Roman"/>
                <w:color w:val="000000"/>
                <w:sz w:val="24"/>
                <w:szCs w:val="24"/>
              </w:rPr>
              <w:t xml:space="preserve"> describes healthcare indices derived from neuroimaging analysis that are called Brain Healthcare Quotients (BHQs), intended to be used for facilitating the communication of information about brain status. It describes the requirements on how such an index is created and also how some concrete BHQs can be defined and calculated. This Recommendation also includes examples of services using BHQs to better monitor the health states for supporting active and alert living. BHQs are linked to various healthcare aspects of human life and can be used to improve life </w:t>
            </w:r>
            <w:r w:rsidR="00A11163" w:rsidRPr="004567E2">
              <w:rPr>
                <w:rFonts w:ascii="Times New Roman" w:hAnsi="Times New Roman" w:cs="Times New Roman"/>
                <w:color w:val="000000"/>
                <w:sz w:val="24"/>
                <w:szCs w:val="24"/>
              </w:rPr>
              <w:lastRenderedPageBreak/>
              <w:t>styles. It can give good standardized measurement and indices of brain conditions even for non-specialists.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70" w:history="1">
              <w:r w:rsidR="00A11163" w:rsidRPr="004567E2">
                <w:rPr>
                  <w:rStyle w:val="Hyperlink"/>
                  <w:rFonts w:ascii="Times New Roman" w:hAnsi="Times New Roman" w:cs="Times New Roman"/>
                  <w:sz w:val="24"/>
                  <w:szCs w:val="24"/>
                </w:rPr>
                <w:t>Recommendation ITU-T H.870 “Guidelines for safe listening devices/systems”</w:t>
              </w:r>
            </w:hyperlink>
            <w:r w:rsidR="00A11163" w:rsidRPr="004567E2">
              <w:rPr>
                <w:rFonts w:ascii="Times New Roman" w:hAnsi="Times New Roman" w:cs="Times New Roman"/>
                <w:color w:val="000000"/>
                <w:sz w:val="24"/>
                <w:szCs w:val="24"/>
              </w:rPr>
              <w:t xml:space="preserve"> describes requirements on safe-listening devices and systems, called personal/portable audio systems, especially those for playing music, to protect people from hearing loss. It also gives a glossary for common understanding as well as the background information on sound, hearing and hearing loss.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Fonts w:ascii="Times New Roman" w:hAnsi="Times New Roman" w:cs="Times New Roman"/>
                <w:color w:val="000000"/>
                <w:sz w:val="24"/>
                <w:szCs w:val="24"/>
              </w:rPr>
            </w:pPr>
            <w:hyperlink r:id="rId171" w:history="1">
              <w:r w:rsidR="00A11163" w:rsidRPr="004567E2">
                <w:rPr>
                  <w:rStyle w:val="Hyperlink"/>
                  <w:rFonts w:ascii="Times New Roman" w:hAnsi="Times New Roman" w:cs="Times New Roman"/>
                  <w:sz w:val="24"/>
                  <w:szCs w:val="24"/>
                </w:rPr>
                <w:t>Technical Report HSTP-H810 “Introduction to the ITU-T H.810 Continua Design Guidelines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provides a high level overview of the Continua Design Guidelines, an introduction to each of the standards and specifications that were chosen by its members to be part of the design guidelines, and the rationale behind their selection. The reader is invited to read the Continua Design Guidelines itself for a comprehensive understanding.</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outlineLvl w:val="1"/>
              <w:rPr>
                <w:rStyle w:val="Hyperlink"/>
                <w:rFonts w:ascii="Times New Roman" w:hAnsi="Times New Roman" w:cs="Times New Roman"/>
                <w:color w:val="000000"/>
                <w:sz w:val="24"/>
                <w:szCs w:val="24"/>
                <w:u w:val="none"/>
              </w:rPr>
            </w:pPr>
            <w:hyperlink r:id="rId172" w:history="1">
              <w:r w:rsidR="00A11163" w:rsidRPr="004567E2">
                <w:rPr>
                  <w:rStyle w:val="Hyperlink"/>
                  <w:rFonts w:ascii="Times New Roman" w:hAnsi="Times New Roman" w:cs="Times New Roman"/>
                  <w:sz w:val="24"/>
                  <w:szCs w:val="24"/>
                </w:rPr>
                <w:t>Technical Report HSTP-H810-XCHF “Fundamentals of data exchange within ITU-T H.810 Continua Design Guideline architecture</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provides a basic description of the data that is being exchanged between sensors, gateways, and end services and the value-add the Continua Design Guidelines (CDG) provide beyond the referenced standards to make implementations truly interoperable.</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rPr>
                <w:rFonts w:ascii="Times New Roman" w:hAnsi="Times New Roman" w:cs="Times New Roman"/>
                <w:sz w:val="24"/>
                <w:szCs w:val="24"/>
                <w:lang w:eastAsia="ko-KR"/>
              </w:rPr>
            </w:pPr>
            <w:hyperlink r:id="rId173" w:history="1">
              <w:r w:rsidR="00A11163" w:rsidRPr="004567E2">
                <w:rPr>
                  <w:rStyle w:val="Hyperlink"/>
                  <w:rFonts w:ascii="Times New Roman" w:hAnsi="Times New Roman" w:cs="Times New Roman"/>
                  <w:sz w:val="24"/>
                  <w:szCs w:val="24"/>
                </w:rPr>
                <w:t>Recommendation ITU-T X.1080.1 “e-Health and world-wide telemedicines - Generic telecommunication protocol”</w:t>
              </w:r>
            </w:hyperlink>
            <w:r w:rsidR="00A11163" w:rsidRPr="004567E2">
              <w:rPr>
                <w:rFonts w:ascii="Times New Roman" w:hAnsi="Times New Roman" w:cs="Times New Roman"/>
                <w:color w:val="000000"/>
                <w:sz w:val="24"/>
                <w:szCs w:val="24"/>
              </w:rPr>
              <w:t xml:space="preserve"> </w:t>
            </w:r>
            <w:r w:rsidR="00A11163" w:rsidRPr="004567E2">
              <w:rPr>
                <w:rFonts w:ascii="Times New Roman" w:hAnsi="Times New Roman" w:cs="Times New Roman"/>
                <w:sz w:val="24"/>
                <w:szCs w:val="24"/>
                <w:lang w:eastAsia="ko-KR"/>
              </w:rPr>
              <w:t>defines the framework for other parts of the ITU-T 1080.x series of Recommendation by providing the overall model for communications aspects of telebiometrics. It provides the basic allocation of object identifiers for uniquely identifying pieces of information during data transfer and it defines a generic telecommunication protocol.</w:t>
            </w:r>
          </w:p>
          <w:p w:rsidR="00A11163" w:rsidRPr="004567E2" w:rsidRDefault="00A11163" w:rsidP="00A11163">
            <w:pPr>
              <w:rPr>
                <w:rFonts w:ascii="Times New Roman" w:hAnsi="Times New Roman" w:cs="Times New Roman"/>
                <w:b/>
                <w:bCs/>
                <w:color w:val="000000"/>
                <w:sz w:val="24"/>
                <w:szCs w:val="24"/>
              </w:rPr>
            </w:pPr>
            <w:r w:rsidRPr="004567E2">
              <w:rPr>
                <w:rFonts w:ascii="Times New Roman" w:hAnsi="Times New Roman" w:cs="Times New Roman"/>
                <w:sz w:val="24"/>
                <w:szCs w:val="24"/>
                <w:lang w:eastAsia="ko-KR"/>
              </w:rPr>
              <w:t>It provides a technique for a formal specification of objects and it specifies a generic protocol that supports interactions between a medical station local to a patient and a remote medical centre providing greater expertise. This protocol is to be used and extended by other parts of the ITU-T X.1080.x series of Recommendations</w:t>
            </w:r>
            <w:r w:rsidRPr="004567E2">
              <w:rPr>
                <w:rFonts w:ascii="Times New Roman" w:hAnsi="Times New Roman" w:cs="Times New Roman"/>
                <w:sz w:val="24"/>
                <w:szCs w:val="24"/>
              </w:rPr>
              <w:t>.</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C5,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rPr>
                <w:rFonts w:ascii="Times New Roman" w:hAnsi="Times New Roman" w:cs="Times New Roman"/>
                <w:b/>
                <w:bCs/>
                <w:color w:val="000000"/>
                <w:sz w:val="24"/>
                <w:szCs w:val="24"/>
              </w:rPr>
            </w:pPr>
            <w:hyperlink r:id="rId174" w:history="1">
              <w:r w:rsidR="00A11163" w:rsidRPr="004567E2">
                <w:rPr>
                  <w:rStyle w:val="Hyperlink"/>
                  <w:rFonts w:ascii="Times New Roman" w:hAnsi="Times New Roman" w:cs="Times New Roman"/>
                  <w:sz w:val="24"/>
                  <w:szCs w:val="24"/>
                </w:rPr>
                <w:t>Recommendation ITU-T X.1092 “Integrated framework for telebiometric data protection in e-health and telemedicine”</w:t>
              </w:r>
            </w:hyperlink>
            <w:r w:rsidR="00A11163" w:rsidRPr="004567E2">
              <w:rPr>
                <w:rFonts w:ascii="Times New Roman" w:hAnsi="Times New Roman" w:cs="Times New Roman"/>
                <w:color w:val="000000"/>
                <w:sz w:val="24"/>
                <w:szCs w:val="24"/>
              </w:rPr>
              <w:t xml:space="preserve"> </w:t>
            </w:r>
            <w:r w:rsidR="00A11163" w:rsidRPr="004567E2">
              <w:rPr>
                <w:rFonts w:ascii="Times New Roman" w:hAnsi="Times New Roman" w:cs="Times New Roman"/>
                <w:sz w:val="24"/>
                <w:szCs w:val="24"/>
              </w:rPr>
              <w:t>provides an integrated framework to protect biometric data and private information in e-health and telemedicine. It defines a model of health services using telebiometrics for user identification and authentication. It identifies threats in transmitting various sensory data related to human health and provides countermeasures for secure transmission when applying the integrated framework.</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C5,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w:t>
            </w:r>
            <w:r w:rsidRPr="004567E2">
              <w:rPr>
                <w:rFonts w:ascii="Times New Roman" w:hAnsi="Times New Roman" w:cs="Times New Roman"/>
                <w:bCs/>
                <w:sz w:val="24"/>
                <w:szCs w:val="24"/>
              </w:rPr>
              <w:t xml:space="preserve"> results</w:t>
            </w:r>
          </w:p>
        </w:tc>
        <w:tc>
          <w:tcPr>
            <w:tcW w:w="8278" w:type="dxa"/>
          </w:tcPr>
          <w:p w:rsidR="00A11163" w:rsidRPr="004567E2" w:rsidRDefault="00A11163" w:rsidP="00A11163">
            <w:pPr>
              <w:rPr>
                <w:rStyle w:val="Hyperlink"/>
                <w:rFonts w:ascii="Times New Roman" w:hAnsi="Times New Roman" w:cs="Times New Roman"/>
                <w:sz w:val="24"/>
                <w:szCs w:val="24"/>
              </w:rPr>
            </w:pPr>
            <w:r w:rsidRPr="004567E2">
              <w:rPr>
                <w:rStyle w:val="Hyperlink"/>
                <w:rFonts w:ascii="Times New Roman" w:hAnsi="Times New Roman" w:cs="Times New Roman"/>
                <w:sz w:val="24"/>
                <w:szCs w:val="24"/>
              </w:rPr>
              <w:t xml:space="preserve">Recommendation ITU-T X.1093 “Telebiometric access control with smart ID cards” </w:t>
            </w:r>
            <w:r w:rsidRPr="004567E2">
              <w:rPr>
                <w:rFonts w:ascii="Times New Roman" w:hAnsi="Times New Roman" w:cs="Times New Roman"/>
                <w:sz w:val="24"/>
                <w:szCs w:val="24"/>
              </w:rPr>
              <w:t>(under approval) describes the general scheme for logical and/or physical access control using the biometrics-on-card. This Recommendation can be applied to the recent emerging area of requiring secure physical and also logical access control management.</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C5</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w:t>
            </w:r>
            <w:r w:rsidRPr="004567E2">
              <w:rPr>
                <w:rFonts w:ascii="Times New Roman" w:hAnsi="Times New Roman" w:cs="Times New Roman"/>
                <w:bCs/>
                <w:sz w:val="24"/>
                <w:szCs w:val="24"/>
              </w:rPr>
              <w:t xml:space="preserve"> results</w:t>
            </w:r>
          </w:p>
        </w:tc>
        <w:tc>
          <w:tcPr>
            <w:tcW w:w="8278" w:type="dxa"/>
          </w:tcPr>
          <w:p w:rsidR="00A11163" w:rsidRPr="004567E2" w:rsidRDefault="00A11163" w:rsidP="00A11163">
            <w:pPr>
              <w:rPr>
                <w:rStyle w:val="Hyperlink"/>
                <w:rFonts w:ascii="Times New Roman" w:hAnsi="Times New Roman" w:cs="Times New Roman"/>
                <w:sz w:val="24"/>
                <w:szCs w:val="24"/>
              </w:rPr>
            </w:pPr>
            <w:r w:rsidRPr="004567E2">
              <w:rPr>
                <w:rStyle w:val="Hyperlink"/>
                <w:rFonts w:ascii="Times New Roman" w:hAnsi="Times New Roman" w:cs="Times New Roman"/>
                <w:sz w:val="24"/>
                <w:szCs w:val="24"/>
              </w:rPr>
              <w:t xml:space="preserve">Recommendation ITU-T X.1147 “Security requirements and framework for big data analytics in mobile internet services” </w:t>
            </w:r>
            <w:r w:rsidRPr="004567E2">
              <w:rPr>
                <w:rFonts w:ascii="Times New Roman" w:hAnsi="Times New Roman" w:cs="Times New Roman"/>
                <w:sz w:val="24"/>
                <w:szCs w:val="24"/>
              </w:rPr>
              <w:t>(under approval) will mainly analyse the security requirements of big data analytics in mobile Internet services, and provide security framework.</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C5, C6</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w:t>
            </w:r>
            <w:r w:rsidRPr="004567E2">
              <w:rPr>
                <w:rFonts w:ascii="Times New Roman" w:hAnsi="Times New Roman" w:cs="Times New Roman"/>
                <w:bCs/>
                <w:sz w:val="24"/>
                <w:szCs w:val="24"/>
              </w:rPr>
              <w:t xml:space="preserve"> results</w:t>
            </w:r>
          </w:p>
        </w:tc>
        <w:tc>
          <w:tcPr>
            <w:tcW w:w="8278" w:type="dxa"/>
          </w:tcPr>
          <w:p w:rsidR="00A11163" w:rsidRPr="004567E2" w:rsidRDefault="00A11163" w:rsidP="00A11163">
            <w:pPr>
              <w:rPr>
                <w:rStyle w:val="Hyperlink"/>
                <w:rFonts w:ascii="Times New Roman" w:hAnsi="Times New Roman" w:cs="Times New Roman"/>
                <w:sz w:val="24"/>
                <w:szCs w:val="24"/>
              </w:rPr>
            </w:pPr>
            <w:r w:rsidRPr="004567E2">
              <w:rPr>
                <w:rStyle w:val="Hyperlink"/>
                <w:rFonts w:ascii="Times New Roman" w:hAnsi="Times New Roman" w:cs="Times New Roman"/>
                <w:sz w:val="24"/>
                <w:szCs w:val="24"/>
              </w:rPr>
              <w:t xml:space="preserve">Recommendation ITU-T X.1450 “Guidelines on hybrid authentication and key management mechanisms in the client-server model” </w:t>
            </w:r>
            <w:r w:rsidRPr="004567E2">
              <w:rPr>
                <w:rFonts w:ascii="Times New Roman" w:hAnsi="Times New Roman" w:cs="Times New Roman"/>
                <w:sz w:val="24"/>
                <w:szCs w:val="24"/>
              </w:rPr>
              <w:t>(under approval) provides guidelines for hybrid authentication and key exchange mechanisms in client-server model. The underlying mechanism suggests the use of shared secrets and public key techniques for authentication and key exchange. This Recommendation covers service scenarios, and security threats and methods to mitigate such attacks.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C5</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w:t>
            </w:r>
            <w:r w:rsidRPr="004567E2">
              <w:rPr>
                <w:rFonts w:ascii="Times New Roman" w:hAnsi="Times New Roman" w:cs="Times New Roman"/>
                <w:bCs/>
                <w:sz w:val="24"/>
                <w:szCs w:val="24"/>
              </w:rPr>
              <w:t xml:space="preserve"> results</w:t>
            </w:r>
          </w:p>
        </w:tc>
        <w:tc>
          <w:tcPr>
            <w:tcW w:w="8278" w:type="dxa"/>
          </w:tcPr>
          <w:p w:rsidR="00A11163" w:rsidRPr="004567E2" w:rsidRDefault="007835EF" w:rsidP="00A11163">
            <w:pPr>
              <w:rPr>
                <w:rFonts w:ascii="Times New Roman" w:hAnsi="Times New Roman" w:cs="Times New Roman"/>
                <w:b/>
                <w:bCs/>
                <w:color w:val="000000"/>
                <w:sz w:val="24"/>
                <w:szCs w:val="24"/>
              </w:rPr>
            </w:pPr>
            <w:hyperlink r:id="rId175" w:tooltip="Capability framework for e-health monitoring services" w:history="1">
              <w:r w:rsidR="00A11163" w:rsidRPr="004567E2">
                <w:rPr>
                  <w:rStyle w:val="Hyperlink"/>
                  <w:rFonts w:ascii="Times New Roman" w:hAnsi="Times New Roman" w:cs="Times New Roman"/>
                  <w:sz w:val="24"/>
                  <w:szCs w:val="24"/>
                </w:rPr>
                <w:t>Recommendation ITU-T Y.4408/Y.2075 “Capability framework for e-health monitoring services”</w:t>
              </w:r>
            </w:hyperlink>
            <w:r w:rsidR="00A11163" w:rsidRPr="004567E2">
              <w:rPr>
                <w:rFonts w:ascii="Times New Roman" w:hAnsi="Times New Roman" w:cs="Times New Roman"/>
                <w:sz w:val="24"/>
                <w:szCs w:val="24"/>
              </w:rPr>
              <w:t xml:space="preserve"> specifies the capability framework for support of the requirements of e-health monitoring (EHM) services (Recommendation ITU-T Y.2065). </w:t>
            </w:r>
            <w:r w:rsidR="00A11163" w:rsidRPr="004567E2">
              <w:rPr>
                <w:rFonts w:ascii="Times New Roman" w:hAnsi="Times New Roman" w:cs="Times New Roman"/>
                <w:sz w:val="24"/>
                <w:szCs w:val="24"/>
              </w:rPr>
              <w:br/>
              <w:t xml:space="preserve">To facilitate the identification of the capabilities in support of EHM services, an EHM conceptual framework is provided making usage of five components (i.e., EHM terminal, EHM end point, EHM gateway, Internet of things (IoT) platform </w:t>
            </w:r>
            <w:r w:rsidR="00A11163" w:rsidRPr="004567E2">
              <w:rPr>
                <w:rFonts w:ascii="Times New Roman" w:hAnsi="Times New Roman" w:cs="Times New Roman"/>
                <w:sz w:val="24"/>
                <w:szCs w:val="24"/>
              </w:rPr>
              <w:lastRenderedPageBreak/>
              <w:t xml:space="preserve">and EHM application server) and the relationships among these components. </w:t>
            </w:r>
            <w:r w:rsidR="00A11163" w:rsidRPr="004567E2">
              <w:rPr>
                <w:rFonts w:ascii="Times New Roman" w:hAnsi="Times New Roman" w:cs="Times New Roman"/>
                <w:sz w:val="24"/>
                <w:szCs w:val="24"/>
              </w:rPr>
              <w:br/>
              <w:t>Based on the EHM conceptual framework and the requirements specified in Recommendation ITU</w:t>
            </w:r>
            <w:r w:rsidR="00A11163" w:rsidRPr="004567E2">
              <w:rPr>
                <w:rFonts w:ascii="Times New Roman" w:hAnsi="Times New Roman" w:cs="Times New Roman"/>
                <w:sz w:val="24"/>
                <w:szCs w:val="24"/>
              </w:rPr>
              <w:noBreakHyphen/>
              <w:t>T Y.2065, the EHM capability framework is provided including the per-layer and cross-layer distribution of EHM capabilities in the five EHM components.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 Publication and discussions through ITU-T Focus Group on Smart Water Management</w:t>
            </w:r>
          </w:p>
        </w:tc>
        <w:tc>
          <w:tcPr>
            <w:tcW w:w="8278" w:type="dxa"/>
          </w:tcPr>
          <w:p w:rsidR="00A11163" w:rsidRPr="004567E2" w:rsidRDefault="007835EF" w:rsidP="00A11163">
            <w:pPr>
              <w:rPr>
                <w:rFonts w:ascii="Times New Roman" w:hAnsi="Times New Roman" w:cs="Times New Roman"/>
                <w:sz w:val="24"/>
                <w:szCs w:val="24"/>
              </w:rPr>
            </w:pPr>
            <w:hyperlink r:id="rId176" w:history="1">
              <w:r w:rsidR="00A11163" w:rsidRPr="004567E2">
                <w:rPr>
                  <w:rStyle w:val="Hyperlink"/>
                  <w:rFonts w:ascii="Times New Roman" w:hAnsi="Times New Roman" w:cs="Times New Roman"/>
                  <w:sz w:val="24"/>
                  <w:szCs w:val="24"/>
                </w:rPr>
                <w:t>The Role of ICT in Water Resource Management</w:t>
              </w:r>
            </w:hyperlink>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C4,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6.4, 9.1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 Publication and discussions through ITU-T Focus Group on Smart Water Management</w:t>
            </w:r>
          </w:p>
        </w:tc>
        <w:tc>
          <w:tcPr>
            <w:tcW w:w="8278" w:type="dxa"/>
          </w:tcPr>
          <w:p w:rsidR="00A11163" w:rsidRPr="004567E2" w:rsidRDefault="007835EF" w:rsidP="00A11163">
            <w:pPr>
              <w:rPr>
                <w:rFonts w:ascii="Times New Roman" w:hAnsi="Times New Roman" w:cs="Times New Roman"/>
                <w:sz w:val="24"/>
                <w:szCs w:val="24"/>
              </w:rPr>
            </w:pPr>
            <w:hyperlink r:id="rId177" w:history="1">
              <w:r w:rsidR="00A11163" w:rsidRPr="004567E2">
                <w:rPr>
                  <w:rStyle w:val="Hyperlink"/>
                  <w:rFonts w:ascii="Times New Roman" w:hAnsi="Times New Roman" w:cs="Times New Roman"/>
                  <w:sz w:val="24"/>
                  <w:szCs w:val="24"/>
                </w:rPr>
                <w:t>Requirements for water sensing and early warning systems</w:t>
              </w:r>
            </w:hyperlink>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C4,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6.4, 9.1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 Publication and discussions through ITU-T Focus Group on Smart Water Management</w:t>
            </w:r>
          </w:p>
        </w:tc>
        <w:tc>
          <w:tcPr>
            <w:tcW w:w="8278" w:type="dxa"/>
          </w:tcPr>
          <w:p w:rsidR="00A11163" w:rsidRPr="004567E2" w:rsidRDefault="007835EF" w:rsidP="00A11163">
            <w:pPr>
              <w:rPr>
                <w:rFonts w:ascii="Times New Roman" w:hAnsi="Times New Roman" w:cs="Times New Roman"/>
                <w:sz w:val="24"/>
                <w:szCs w:val="24"/>
              </w:rPr>
            </w:pPr>
            <w:hyperlink r:id="rId178" w:history="1">
              <w:r w:rsidR="00A11163" w:rsidRPr="004567E2">
                <w:rPr>
                  <w:rStyle w:val="Hyperlink"/>
                  <w:rFonts w:ascii="Times New Roman" w:hAnsi="Times New Roman" w:cs="Times New Roman"/>
                  <w:sz w:val="24"/>
                  <w:szCs w:val="24"/>
                </w:rPr>
                <w:t>Standardization gap analysis for smart water management</w:t>
              </w:r>
            </w:hyperlink>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C4,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6.4, 9.1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 Publication and discussions through ITU-T Focus Group on Smart Water Management</w:t>
            </w:r>
          </w:p>
        </w:tc>
        <w:tc>
          <w:tcPr>
            <w:tcW w:w="8278" w:type="dxa"/>
          </w:tcPr>
          <w:p w:rsidR="00A11163" w:rsidRPr="004567E2" w:rsidRDefault="007835EF" w:rsidP="00A11163">
            <w:pPr>
              <w:rPr>
                <w:rFonts w:ascii="Times New Roman" w:hAnsi="Times New Roman" w:cs="Times New Roman"/>
                <w:sz w:val="24"/>
                <w:szCs w:val="24"/>
              </w:rPr>
            </w:pPr>
            <w:hyperlink r:id="rId179" w:history="1">
              <w:r w:rsidR="00A11163" w:rsidRPr="004567E2">
                <w:rPr>
                  <w:rStyle w:val="Hyperlink"/>
                  <w:rFonts w:ascii="Times New Roman" w:hAnsi="Times New Roman" w:cs="Times New Roman"/>
                  <w:sz w:val="24"/>
                  <w:szCs w:val="24"/>
                </w:rPr>
                <w:t>Smart water management – Global initiatives and key stakeholders</w:t>
              </w:r>
            </w:hyperlink>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C4,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6.4, 9.1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 Publication and discussions through ITU-T Focus Group on Smart Water Management</w:t>
            </w:r>
          </w:p>
        </w:tc>
        <w:tc>
          <w:tcPr>
            <w:tcW w:w="8278" w:type="dxa"/>
          </w:tcPr>
          <w:p w:rsidR="00A11163" w:rsidRPr="004567E2" w:rsidRDefault="007835EF" w:rsidP="00A11163">
            <w:pPr>
              <w:rPr>
                <w:rFonts w:ascii="Times New Roman" w:hAnsi="Times New Roman" w:cs="Times New Roman"/>
                <w:sz w:val="24"/>
                <w:szCs w:val="24"/>
              </w:rPr>
            </w:pPr>
            <w:hyperlink r:id="rId180" w:history="1">
              <w:r w:rsidR="00A11163" w:rsidRPr="004567E2">
                <w:rPr>
                  <w:rStyle w:val="Hyperlink"/>
                  <w:rFonts w:ascii="Times New Roman" w:hAnsi="Times New Roman" w:cs="Times New Roman"/>
                  <w:sz w:val="24"/>
                  <w:szCs w:val="24"/>
                </w:rPr>
                <w:t>Smart Water Management Stakeholders Map</w:t>
              </w:r>
            </w:hyperlink>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C4,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6.4, 9.1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 Publication and discussions through ITU-T Focus Group on Smart Water Management</w:t>
            </w:r>
          </w:p>
        </w:tc>
        <w:tc>
          <w:tcPr>
            <w:tcW w:w="8278" w:type="dxa"/>
          </w:tcPr>
          <w:p w:rsidR="00A11163" w:rsidRPr="004567E2" w:rsidRDefault="007835EF" w:rsidP="00A11163">
            <w:pPr>
              <w:rPr>
                <w:rFonts w:ascii="Times New Roman" w:hAnsi="Times New Roman" w:cs="Times New Roman"/>
                <w:sz w:val="24"/>
                <w:szCs w:val="24"/>
              </w:rPr>
            </w:pPr>
            <w:hyperlink r:id="rId181" w:history="1">
              <w:r w:rsidR="00A11163" w:rsidRPr="004567E2">
                <w:rPr>
                  <w:rStyle w:val="Hyperlink"/>
                  <w:rFonts w:ascii="Times New Roman" w:hAnsi="Times New Roman" w:cs="Times New Roman"/>
                  <w:sz w:val="24"/>
                  <w:szCs w:val="24"/>
                </w:rPr>
                <w:t>Smart water management project classification</w:t>
              </w:r>
            </w:hyperlink>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C4,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6.4, 9.1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 Publication and discussions through ITU-T Focus Group on Smart Water Management</w:t>
            </w:r>
          </w:p>
        </w:tc>
        <w:tc>
          <w:tcPr>
            <w:tcW w:w="8278" w:type="dxa"/>
          </w:tcPr>
          <w:p w:rsidR="00A11163" w:rsidRPr="004567E2" w:rsidRDefault="007835EF" w:rsidP="00A11163">
            <w:pPr>
              <w:rPr>
                <w:rFonts w:ascii="Times New Roman" w:hAnsi="Times New Roman" w:cs="Times New Roman"/>
                <w:sz w:val="24"/>
                <w:szCs w:val="24"/>
              </w:rPr>
            </w:pPr>
            <w:hyperlink r:id="rId182" w:history="1">
              <w:r w:rsidR="00A11163" w:rsidRPr="004567E2">
                <w:rPr>
                  <w:rStyle w:val="Hyperlink"/>
                  <w:rFonts w:ascii="Times New Roman" w:hAnsi="Times New Roman" w:cs="Times New Roman"/>
                  <w:sz w:val="24"/>
                  <w:szCs w:val="24"/>
                </w:rPr>
                <w:t>Smart water management stakeholder challenges and mitigation</w:t>
              </w:r>
            </w:hyperlink>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C4,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6.4, 9.1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ITU-T recognized the need to develop ‘smart’ water-management systems; one that incorporates the views of irrigation, agriculture, environment and communications ministries as well as </w:t>
            </w:r>
            <w:r w:rsidRPr="004567E2">
              <w:rPr>
                <w:rFonts w:ascii="Times New Roman" w:hAnsi="Times New Roman" w:cs="Times New Roman"/>
                <w:bCs/>
                <w:color w:val="000000"/>
                <w:sz w:val="24"/>
                <w:szCs w:val="24"/>
              </w:rPr>
              <w:lastRenderedPageBreak/>
              <w:t>those of the ICT industry and relevant intergovernmental and non-governmental organizations.</w:t>
            </w:r>
          </w:p>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Publication and discussions through ITU-T Focus Group on Smart Water Management</w:t>
            </w:r>
          </w:p>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After its conclusion, its parent group, ITU-T Study Group 5 (Environment and climate change), continues the work and has developed a number of relevant texts, e.g. the supplements to the L-series of Recommendations.</w:t>
            </w:r>
          </w:p>
        </w:tc>
        <w:tc>
          <w:tcPr>
            <w:tcW w:w="8278" w:type="dxa"/>
          </w:tcPr>
          <w:p w:rsidR="00A11163" w:rsidRPr="004567E2" w:rsidRDefault="007835EF" w:rsidP="00A11163">
            <w:pPr>
              <w:rPr>
                <w:rFonts w:ascii="Times New Roman" w:hAnsi="Times New Roman" w:cs="Times New Roman"/>
                <w:sz w:val="24"/>
                <w:szCs w:val="24"/>
              </w:rPr>
            </w:pPr>
            <w:hyperlink r:id="rId183" w:history="1">
              <w:r w:rsidR="00A11163" w:rsidRPr="004567E2">
                <w:rPr>
                  <w:rStyle w:val="Hyperlink"/>
                  <w:rFonts w:ascii="Times New Roman" w:hAnsi="Times New Roman" w:cs="Times New Roman"/>
                  <w:sz w:val="24"/>
                  <w:szCs w:val="24"/>
                </w:rPr>
                <w:t>Technical report on the KPI to assess the impact of the use of ICT in SWM</w:t>
              </w:r>
            </w:hyperlink>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C4,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6.4, 9.1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b/>
                <w:bCs/>
                <w:color w:val="000000"/>
                <w:sz w:val="24"/>
                <w:szCs w:val="24"/>
              </w:rPr>
            </w:pPr>
            <w:hyperlink r:id="rId184" w:tooltip="ITU-T Y.4550-Y.4699 -  Smart water management in cities " w:history="1">
              <w:r w:rsidR="00A11163" w:rsidRPr="004567E2">
                <w:rPr>
                  <w:rStyle w:val="Hyperlink"/>
                  <w:rFonts w:ascii="Times New Roman" w:hAnsi="Times New Roman" w:cs="Times New Roman"/>
                  <w:sz w:val="24"/>
                  <w:szCs w:val="24"/>
                </w:rPr>
                <w:t xml:space="preserve">ITU-T Y.Suppl. 36: ITU-T Y.4550-Y.4699 “Smart water management in cities” </w:t>
              </w:r>
            </w:hyperlink>
            <w:r w:rsidR="00A11163" w:rsidRPr="004567E2">
              <w:rPr>
                <w:rFonts w:ascii="Times New Roman" w:hAnsi="Times New Roman" w:cs="Times New Roman"/>
                <w:sz w:val="24"/>
                <w:szCs w:val="24"/>
              </w:rPr>
              <w:t xml:space="preserve">provides municipalities, decision-makers and interested stakeholders with an overview of the main technical aspects that need to be considered to effectively design and implement smart water management in cities. This Supplement approaches smart water management systems from an overarching perspective. Therefore, it is expected that the smart water technologies described, as well as their integration into urban water management systems, can be relevant to inform </w:t>
            </w:r>
            <w:r w:rsidR="00A11163" w:rsidRPr="004567E2">
              <w:rPr>
                <w:rFonts w:ascii="Times New Roman" w:hAnsi="Times New Roman" w:cs="Times New Roman"/>
                <w:sz w:val="24"/>
                <w:szCs w:val="24"/>
              </w:rPr>
              <w:lastRenderedPageBreak/>
              <w:t>the design of new systems (e.g. in the case of rapid urban growth and infrastructure extension in developing countries), as well as to update existing systems (e.g. linked to declining per capita demand for water and ageing infrastructure in developed countries).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6.4, 9.1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FG-SSC</w:t>
            </w:r>
          </w:p>
        </w:tc>
        <w:tc>
          <w:tcPr>
            <w:tcW w:w="8278" w:type="dxa"/>
          </w:tcPr>
          <w:p w:rsidR="00A11163" w:rsidRPr="004567E2" w:rsidRDefault="007835EF" w:rsidP="00A11163">
            <w:pPr>
              <w:rPr>
                <w:rFonts w:ascii="Times New Roman" w:hAnsi="Times New Roman" w:cs="Times New Roman"/>
                <w:b/>
                <w:bCs/>
                <w:color w:val="000000"/>
                <w:sz w:val="24"/>
                <w:szCs w:val="24"/>
              </w:rPr>
            </w:pPr>
            <w:hyperlink r:id="rId185" w:history="1">
              <w:r w:rsidR="00A11163" w:rsidRPr="004567E2">
                <w:rPr>
                  <w:rStyle w:val="Hyperlink"/>
                  <w:rFonts w:ascii="Times New Roman" w:hAnsi="Times New Roman" w:cs="Times New Roman"/>
                  <w:color w:val="3789BD"/>
                  <w:sz w:val="24"/>
                  <w:szCs w:val="24"/>
                </w:rPr>
                <w:t>TR on "Smart water management in cities"</w:t>
              </w:r>
            </w:hyperlink>
            <w:r w:rsidR="00A11163" w:rsidRPr="004567E2">
              <w:rPr>
                <w:rFonts w:ascii="Times New Roman" w:hAnsi="Times New Roman" w:cs="Times New Roman"/>
                <w:color w:val="3789BD"/>
                <w:sz w:val="24"/>
                <w:szCs w:val="24"/>
              </w:rPr>
              <w:t xml:space="preserve"> </w:t>
            </w:r>
            <w:r w:rsidR="00A11163" w:rsidRPr="004567E2">
              <w:rPr>
                <w:rFonts w:ascii="Times New Roman" w:hAnsi="Times New Roman" w:cs="Times New Roman"/>
                <w:sz w:val="24"/>
                <w:szCs w:val="24"/>
              </w:rPr>
              <w:t>provides municipalities, decision-makers and interested stakeholders with an overview of the main technical aspects that need to be considered to effectively design and implement smart water management in cities and in SWM within urban settings, including the key water management problems and opportunities faced by cities. By highlighting the role and potential of ICTs, this Technical Report seeks to position SWM as a crucial area of action to achieve the goals set out by smart sustainable cities, and to respond to ongoing and emerging urban challenges, including those posed by climate change.</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6.4, 9.1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w:t>
            </w:r>
          </w:p>
        </w:tc>
        <w:tc>
          <w:tcPr>
            <w:tcW w:w="8278" w:type="dxa"/>
          </w:tcPr>
          <w:p w:rsidR="00A11163" w:rsidRPr="004567E2" w:rsidRDefault="007835EF" w:rsidP="00A11163">
            <w:pPr>
              <w:rPr>
                <w:rFonts w:ascii="Times New Roman" w:hAnsi="Times New Roman" w:cs="Times New Roman"/>
                <w:b/>
                <w:bCs/>
                <w:color w:val="000000"/>
                <w:sz w:val="24"/>
                <w:szCs w:val="24"/>
              </w:rPr>
            </w:pPr>
            <w:hyperlink r:id="rId186" w:history="1">
              <w:r w:rsidR="00A11163" w:rsidRPr="004567E2">
                <w:rPr>
                  <w:rStyle w:val="Hyperlink"/>
                  <w:rFonts w:ascii="Times New Roman" w:hAnsi="Times New Roman" w:cs="Times New Roman"/>
                  <w:sz w:val="24"/>
                  <w:szCs w:val="24"/>
                </w:rPr>
                <w:t>ITU-T L.Suppl. 14: ITU-T L.1500 “Standardization gap analysis for smart water management</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identifies gaps on standardization for smart water management (SWM), taking into consideration related information and communication technology (ICT) standardization activities currently undertaken by the various standards development organizations (SDOs) and forums.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6.4, 9.1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T.1-4</w:t>
            </w:r>
          </w:p>
        </w:tc>
        <w:tc>
          <w:tcPr>
            <w:tcW w:w="756" w:type="dxa"/>
          </w:tcPr>
          <w:p w:rsidR="00A11163" w:rsidRPr="004567E2" w:rsidRDefault="00A11163" w:rsidP="00A11163">
            <w:pPr>
              <w:pStyle w:val="Default"/>
              <w:numPr>
                <w:ilvl w:val="0"/>
                <w:numId w:val="17"/>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w:t>
            </w:r>
          </w:p>
        </w:tc>
        <w:tc>
          <w:tcPr>
            <w:tcW w:w="8278" w:type="dxa"/>
          </w:tcPr>
          <w:p w:rsidR="00A11163" w:rsidRPr="004567E2" w:rsidRDefault="007835EF" w:rsidP="00A11163">
            <w:pPr>
              <w:rPr>
                <w:rFonts w:ascii="Times New Roman" w:hAnsi="Times New Roman" w:cs="Times New Roman"/>
                <w:b/>
                <w:bCs/>
                <w:color w:val="000000"/>
                <w:sz w:val="24"/>
                <w:szCs w:val="24"/>
              </w:rPr>
            </w:pPr>
            <w:hyperlink r:id="rId187" w:history="1">
              <w:r w:rsidR="00A11163" w:rsidRPr="004567E2">
                <w:rPr>
                  <w:rStyle w:val="Hyperlink"/>
                  <w:rFonts w:ascii="Times New Roman" w:hAnsi="Times New Roman" w:cs="Times New Roman"/>
                  <w:sz w:val="24"/>
                  <w:szCs w:val="24"/>
                </w:rPr>
                <w:t>ITU-T L.Suppl. 15: ITU-T L.1500 series “Requirements for water sensing and early warning systems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provides a general overview of the requirements for water sensing and early warning systems, and illustrates the different technologies for sensing water quality indicators, in addition to early warning systems. The Supplement also demonstrates most commonly measured water parameters and associated sensing technologies.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6.4, 9.1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 results</w:t>
            </w:r>
          </w:p>
        </w:tc>
        <w:tc>
          <w:tcPr>
            <w:tcW w:w="8278" w:type="dxa"/>
          </w:tcPr>
          <w:p w:rsidR="00A11163" w:rsidRPr="004567E2" w:rsidRDefault="00A11163" w:rsidP="00A11163">
            <w:pPr>
              <w:widowControl w:val="0"/>
              <w:rPr>
                <w:rStyle w:val="Hyperlink"/>
                <w:rFonts w:ascii="Times New Roman" w:hAnsi="Times New Roman" w:cs="Times New Roman"/>
                <w:sz w:val="24"/>
                <w:szCs w:val="24"/>
              </w:rPr>
            </w:pPr>
            <w:r w:rsidRPr="004567E2">
              <w:rPr>
                <w:rStyle w:val="Hyperlink"/>
                <w:rFonts w:ascii="Times New Roman" w:hAnsi="Times New Roman" w:cs="Times New Roman"/>
                <w:color w:val="auto"/>
                <w:sz w:val="24"/>
                <w:szCs w:val="24"/>
                <w:u w:val="none"/>
              </w:rPr>
              <w:t>Recommendation ITU-T E.118 Amd.1 “The international telecommunication charge card-revised registration form” contains amendments to the Registration Form (Figure 2/E.118) of Recommendation ITU-T E.118.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 results</w:t>
            </w:r>
          </w:p>
        </w:tc>
        <w:tc>
          <w:tcPr>
            <w:tcW w:w="8278" w:type="dxa"/>
          </w:tcPr>
          <w:p w:rsidR="00A11163" w:rsidRPr="004567E2" w:rsidRDefault="007835EF" w:rsidP="00A11163">
            <w:pPr>
              <w:widowControl w:val="0"/>
              <w:rPr>
                <w:rStyle w:val="Hyperlink"/>
                <w:rFonts w:ascii="Times New Roman" w:hAnsi="Times New Roman" w:cs="Times New Roman"/>
                <w:sz w:val="24"/>
                <w:szCs w:val="24"/>
              </w:rPr>
            </w:pPr>
            <w:hyperlink r:id="rId188" w:history="1">
              <w:r w:rsidR="00A11163" w:rsidRPr="004567E2">
                <w:rPr>
                  <w:rStyle w:val="Hyperlink"/>
                  <w:rFonts w:ascii="Times New Roman" w:hAnsi="Times New Roman" w:cs="Times New Roman"/>
                  <w:sz w:val="24"/>
                  <w:szCs w:val="24"/>
                </w:rPr>
                <w:t xml:space="preserve">Recommendation ITU-T E.169.1 “Application of Recommendation E.164 numbering plan for universal international freephone numbers for international </w:t>
              </w:r>
              <w:r w:rsidR="00A11163" w:rsidRPr="004567E2">
                <w:rPr>
                  <w:rStyle w:val="Hyperlink"/>
                  <w:rFonts w:ascii="Times New Roman" w:hAnsi="Times New Roman" w:cs="Times New Roman"/>
                  <w:sz w:val="24"/>
                  <w:szCs w:val="24"/>
                </w:rPr>
                <w:lastRenderedPageBreak/>
                <w:t>freephone service”</w:t>
              </w:r>
            </w:hyperlink>
            <w:r w:rsidR="00A11163" w:rsidRPr="004567E2">
              <w:rPr>
                <w:rStyle w:val="Hyperlink"/>
                <w:rFonts w:ascii="Times New Roman" w:hAnsi="Times New Roman" w:cs="Times New Roman"/>
                <w:color w:val="auto"/>
                <w:sz w:val="24"/>
                <w:szCs w:val="24"/>
                <w:u w:val="none"/>
              </w:rPr>
              <w:t xml:space="preserve"> details the application of the ITU-T Rec. E.164 Numbering Plan for the Universal International Freephone Numbers (UIFN) in the provisioning of International Freephone Service (IFS) as defined in ITU-Rec. E.152. It has been amended and refined in the light of experience gained by service providers and the UIFN Registrar since the inauguration of the UIFN in early 1997. This Recommendation was previously numbered E.169. It has now been renumbered as E.169.1, and forms part of the 169.x-series Recommendations describing the numbering plans and assignment procedures for various international services.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 results</w:t>
            </w:r>
          </w:p>
        </w:tc>
        <w:tc>
          <w:tcPr>
            <w:tcW w:w="8278" w:type="dxa"/>
          </w:tcPr>
          <w:p w:rsidR="00A11163" w:rsidRPr="004567E2" w:rsidRDefault="007835EF" w:rsidP="00A11163">
            <w:pPr>
              <w:rPr>
                <w:rFonts w:ascii="Times New Roman" w:hAnsi="Times New Roman" w:cs="Times New Roman"/>
                <w:sz w:val="24"/>
                <w:szCs w:val="24"/>
              </w:rPr>
            </w:pPr>
            <w:hyperlink r:id="rId189" w:history="1">
              <w:r w:rsidR="00A11163" w:rsidRPr="004567E2">
                <w:rPr>
                  <w:rStyle w:val="Hyperlink"/>
                  <w:rFonts w:ascii="Times New Roman" w:hAnsi="Times New Roman" w:cs="Times New Roman"/>
                  <w:sz w:val="24"/>
                  <w:szCs w:val="24"/>
                </w:rPr>
                <w:t>ITU-T E.217 “Maritime communications - Ship station identity”</w:t>
              </w:r>
            </w:hyperlink>
            <w:r w:rsidR="00A11163" w:rsidRPr="004567E2">
              <w:rPr>
                <w:rFonts w:ascii="Times New Roman" w:hAnsi="Times New Roman" w:cs="Times New Roman"/>
                <w:sz w:val="24"/>
                <w:szCs w:val="24"/>
              </w:rPr>
              <w:t xml:space="preserve"> (under approval): For the purposes of International Public Correspondence Telecommunication, the ship station identity is now only relevant for those existing systems that have the ship station identity embedded in the numbering scheme as illustrated in Annexes A and B. For future systems that will not embed the ship station identity in their numbering scheme the ship station identity ceases to have any relevance for public correspondence telecommunication purposes. This revision of E.217 includes relevant text from E.210 as it combines both of those Recommendations into E.217. In addition it reflects changes that have occurred within the existing family of services provided by Inmarsat that impact the provision of Global Maritime Distress and Safety System (GMDSS). For historical accuracy this revised version also reflects details of the provision of Inmarsat services prior to the expansion of the E.164 numbering plan (ITU-T Recommendation E.164 'The international public telecommunication numbering plan') from a maximum of 12 to 15 digits.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190" w:history="1">
              <w:r w:rsidR="00A11163" w:rsidRPr="004567E2">
                <w:rPr>
                  <w:rStyle w:val="Hyperlink"/>
                  <w:rFonts w:ascii="Times New Roman" w:hAnsi="Times New Roman" w:cs="Times New Roman"/>
                  <w:sz w:val="24"/>
                  <w:szCs w:val="24"/>
                </w:rPr>
                <w:t>Recommendation ITU-T M.1400 (04/2015) Amd.1 “Designations for interconnections among operators' networks - Draft Amendment 1: Addition of new function codes for optical networks beyond 100 Gb/s”</w:t>
              </w:r>
            </w:hyperlink>
            <w:r w:rsidR="00A11163" w:rsidRPr="004567E2">
              <w:rPr>
                <w:rFonts w:ascii="Times New Roman" w:hAnsi="Times New Roman" w:cs="Times New Roman"/>
                <w:sz w:val="24"/>
                <w:szCs w:val="24"/>
              </w:rPr>
              <w:t xml:space="preserve"> adds new function codes for optical networks beyond 100 Gb/s The 2016 edition of Recommendation ITU-T G.709 has introduced support for optical transport networks with rates beyond 100 Gb/s. This draft amendment augments clause 29 of Recommendation </w:t>
            </w:r>
            <w:r w:rsidR="00A11163" w:rsidRPr="004567E2">
              <w:rPr>
                <w:rFonts w:ascii="Times New Roman" w:hAnsi="Times New Roman" w:cs="Times New Roman"/>
                <w:sz w:val="24"/>
                <w:szCs w:val="24"/>
              </w:rPr>
              <w:lastRenderedPageBreak/>
              <w:t>ITU-T M.1400 with new function codes for the corresponding Optical Data Units and Optical Transport Units. It also corrects a few editorial inconsistencies.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191" w:history="1">
              <w:r w:rsidR="00A11163" w:rsidRPr="004567E2">
                <w:rPr>
                  <w:rStyle w:val="Hyperlink"/>
                  <w:rFonts w:ascii="Times New Roman" w:hAnsi="Times New Roman" w:cs="Times New Roman"/>
                  <w:sz w:val="24"/>
                  <w:szCs w:val="24"/>
                </w:rPr>
                <w:t>Recommendation ITU-T M.3020 “Management interface specification methodology”</w:t>
              </w:r>
            </w:hyperlink>
            <w:r w:rsidR="00A11163" w:rsidRPr="004567E2">
              <w:rPr>
                <w:rFonts w:ascii="Times New Roman" w:hAnsi="Times New Roman" w:cs="Times New Roman"/>
                <w:sz w:val="24"/>
                <w:szCs w:val="24"/>
              </w:rPr>
              <w:t xml:space="preserve"> describes the management interface specification methodology (MISM), and the process to derive interface specifications based on user requirements, analysis and design (RAD). Guidelines are given on RAD using unified modelling language (UML) notation; however, other interface specification techniques are not precluded. The guidelines for using UML are described at a high level in this ITU-T Recommendation.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192" w:history="1">
              <w:r w:rsidR="00A11163" w:rsidRPr="004567E2">
                <w:rPr>
                  <w:rStyle w:val="Hyperlink"/>
                  <w:rFonts w:ascii="Times New Roman" w:hAnsi="Times New Roman" w:cs="Times New Roman"/>
                  <w:sz w:val="24"/>
                  <w:szCs w:val="24"/>
                </w:rPr>
                <w:t>Recommendation ITU-T M.3071 “Cloud-based network management functional architecture”</w:t>
              </w:r>
            </w:hyperlink>
            <w:r w:rsidR="00A11163" w:rsidRPr="004567E2">
              <w:rPr>
                <w:rFonts w:ascii="Times New Roman" w:hAnsi="Times New Roman" w:cs="Times New Roman"/>
                <w:sz w:val="24"/>
                <w:szCs w:val="24"/>
              </w:rPr>
              <w:t xml:space="preserve"> introduces a new network management functional architecture with the cloud computing technology. In this Recommendation, the background and basic concept of cloud-based network management are provided. This Recommendation also provides the cloud-based network management functional architecture, including the basic components of the cloud-based network management functional architecture, their functionalities and the relationship between the components.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193" w:history="1">
              <w:r w:rsidR="00A11163" w:rsidRPr="004567E2">
                <w:rPr>
                  <w:rStyle w:val="Hyperlink"/>
                  <w:rFonts w:ascii="Times New Roman" w:hAnsi="Times New Roman" w:cs="Times New Roman"/>
                  <w:sz w:val="24"/>
                  <w:szCs w:val="24"/>
                </w:rPr>
                <w:t>Recommendation ITU-T M.3372 “Requirements for resource management in cloud-aware telecommunication management system”</w:t>
              </w:r>
            </w:hyperlink>
            <w:r w:rsidR="00A11163" w:rsidRPr="004567E2">
              <w:rPr>
                <w:rStyle w:val="Hyperlink"/>
                <w:rFonts w:ascii="Times New Roman" w:hAnsi="Times New Roman" w:cs="Times New Roman"/>
                <w:color w:val="auto"/>
                <w:sz w:val="24"/>
                <w:szCs w:val="24"/>
                <w:u w:val="none"/>
              </w:rPr>
              <w:t xml:space="preserve"> introduces a functional framework and functional requirements for resource management in cloud-aware telecommunication management system. It provides the composition of the functional framework, and the functions of each component in the framework. In this Recommendation, the general background and the current status of the cloud computing management are also analysed. And the benefit of introducing functional framework and functional requirements of resource management in cloud-aware telecommunication management system is explained.</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194" w:history="1">
              <w:r w:rsidR="00A11163" w:rsidRPr="004567E2">
                <w:rPr>
                  <w:rStyle w:val="Hyperlink"/>
                  <w:rFonts w:ascii="Times New Roman" w:hAnsi="Times New Roman" w:cs="Times New Roman"/>
                  <w:sz w:val="24"/>
                  <w:szCs w:val="24"/>
                </w:rPr>
                <w:t>Recommendation</w:t>
              </w:r>
            </w:hyperlink>
            <w:r w:rsidR="00A11163" w:rsidRPr="004567E2">
              <w:rPr>
                <w:rStyle w:val="Hyperlink"/>
                <w:rFonts w:ascii="Times New Roman" w:hAnsi="Times New Roman" w:cs="Times New Roman"/>
                <w:sz w:val="24"/>
                <w:szCs w:val="24"/>
              </w:rPr>
              <w:t xml:space="preserve"> </w:t>
            </w:r>
            <w:hyperlink r:id="rId195" w:history="1">
              <w:r w:rsidR="00A11163" w:rsidRPr="004567E2">
                <w:rPr>
                  <w:rStyle w:val="Hyperlink"/>
                  <w:rFonts w:ascii="Times New Roman" w:hAnsi="Times New Roman" w:cs="Times New Roman"/>
                  <w:sz w:val="24"/>
                  <w:szCs w:val="24"/>
                </w:rPr>
                <w:t>ITU</w:t>
              </w:r>
            </w:hyperlink>
            <w:r w:rsidR="00A11163" w:rsidRPr="004567E2">
              <w:rPr>
                <w:rStyle w:val="Hyperlink"/>
                <w:rFonts w:ascii="Times New Roman" w:hAnsi="Times New Roman" w:cs="Times New Roman"/>
                <w:sz w:val="24"/>
                <w:szCs w:val="24"/>
              </w:rPr>
              <w:t>-T X.760 “The measurement framework for the statistical indicators of website traffic”</w:t>
            </w:r>
            <w:r w:rsidR="00A11163" w:rsidRPr="004567E2">
              <w:rPr>
                <w:rFonts w:ascii="Times New Roman" w:hAnsi="Times New Roman" w:cs="Times New Roman"/>
                <w:sz w:val="24"/>
                <w:szCs w:val="24"/>
              </w:rPr>
              <w:t xml:space="preserve"> describes the measurement framework for the statistical indicators of website traffic. This Recommendation defines three key </w:t>
            </w:r>
            <w:r w:rsidR="00A11163" w:rsidRPr="004567E2">
              <w:rPr>
                <w:rFonts w:ascii="Times New Roman" w:hAnsi="Times New Roman" w:cs="Times New Roman"/>
                <w:sz w:val="24"/>
                <w:szCs w:val="24"/>
              </w:rPr>
              <w:lastRenderedPageBreak/>
              <w:t>statistical indicators (KSIs) including eight sub-indicators of website traffic and describes the measurement framework including measurement environment and measurement procedure for KSIs of website traffic. This Recommendation is aimed at providing network operators with a means to benchmark websites for scaling and optimizing network infrastructures.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SG3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196" w:history="1">
              <w:r w:rsidR="00A11163" w:rsidRPr="004567E2">
                <w:rPr>
                  <w:rStyle w:val="Hyperlink"/>
                  <w:rFonts w:ascii="Times New Roman" w:hAnsi="Times New Roman" w:cs="Times New Roman"/>
                  <w:sz w:val="24"/>
                  <w:szCs w:val="24"/>
                </w:rPr>
                <w:t>Recommendation ITU-T D.53 "International aspects of Universal Service"</w:t>
              </w:r>
            </w:hyperlink>
            <w:r w:rsidR="00A11163" w:rsidRPr="004567E2">
              <w:rPr>
                <w:rFonts w:ascii="Times New Roman" w:hAnsi="Times New Roman" w:cs="Times New Roman"/>
                <w:sz w:val="24"/>
                <w:szCs w:val="24"/>
              </w:rPr>
              <w:t xml:space="preserve"> offers guidelines to increase compliance with Universal Service policies as well as the extent to which they achieve their goal of delivering a minimum level of ICT services to every inhabitant of a country.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197" w:history="1">
              <w:r w:rsidR="00A11163" w:rsidRPr="004567E2">
                <w:rPr>
                  <w:rStyle w:val="Hyperlink"/>
                  <w:rFonts w:ascii="Times New Roman" w:hAnsi="Times New Roman" w:cs="Times New Roman"/>
                  <w:sz w:val="24"/>
                  <w:szCs w:val="24"/>
                </w:rPr>
                <w:t>ITU-T L Suppl. 22 “Low-cost sustainable telecommunication for rural communications in developing countries using fibre optic cable</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identifies a low cost sustainable optical cable solution for potential users of broadband digital services in remote or rural areas who are unlikely to gain such services. The solution would quickly and inclusively close the digital divide which is the key target of ITU Connect 2020 Agenda.</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198" w:history="1">
              <w:r w:rsidR="00A11163" w:rsidRPr="004567E2">
                <w:rPr>
                  <w:rStyle w:val="Hyperlink"/>
                  <w:rFonts w:ascii="Times New Roman" w:hAnsi="Times New Roman" w:cs="Times New Roman"/>
                  <w:sz w:val="24"/>
                  <w:szCs w:val="24"/>
                </w:rPr>
                <w:t>ITU-T L Suppl. 23 “Low-cost sustainable telecommunications for rural communications in developing countries using microwave and millimetre radio links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provides technical information about the use of microwave radio systems which are available for use in telecommunication networks for rural communications in developing countries. Example applications include: high-capacity backbone networks, synchronous digital hierarchy (SDH) network systems, and use in enterprise networks and mobile backhauls. The attractive features of microwave systems for rural communications in developing countries are: independence from geographical features, such as mountains and archipelagos; rapid system integration at a low cost; robustness against disasters; and security against human interference.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199" w:history="1">
              <w:r w:rsidR="00A11163" w:rsidRPr="004567E2">
                <w:rPr>
                  <w:rStyle w:val="Hyperlink"/>
                  <w:rFonts w:ascii="Times New Roman" w:hAnsi="Times New Roman" w:cs="Times New Roman"/>
                  <w:sz w:val="24"/>
                  <w:szCs w:val="24"/>
                </w:rPr>
                <w:t>ITU-T L Suppl. 29 “Low-cost sustainable telecommunication for rural communications in developing countries using cellular radio technologies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identifies a low-cost sustainable solution using cellular radio technologies </w:t>
            </w:r>
            <w:r w:rsidR="00A11163" w:rsidRPr="004567E2">
              <w:rPr>
                <w:rFonts w:ascii="Times New Roman" w:hAnsi="Times New Roman" w:cs="Times New Roman"/>
                <w:sz w:val="24"/>
                <w:szCs w:val="24"/>
              </w:rPr>
              <w:lastRenderedPageBreak/>
              <w:t>consisting of base station system and backhaul for potential users of digital services in remote or rural areas.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C1, 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200" w:history="1">
              <w:r w:rsidR="00A11163" w:rsidRPr="004567E2">
                <w:rPr>
                  <w:rStyle w:val="Hyperlink"/>
                  <w:rFonts w:ascii="Times New Roman" w:hAnsi="Times New Roman" w:cs="Times New Roman"/>
                  <w:sz w:val="24"/>
                  <w:szCs w:val="24"/>
                </w:rPr>
                <w:t>ITU-T L Suppl. 30 “Setting up a low-cost sustainable telecommunication network for rural communications in developing countries using cellular network with capacity transfer</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describes a system “Cellular network with capacity transfer” taking into account specific requirements for communications in rural and remote areas with the special attention to a low-cost of all components of the system with low operating cost, low power consumption, very effective coverage zones and low requirements for maintenance of the system. The key benefit is achieved by relaying of the cellular air-interface in a frequency band other than standard cellular, which allows the substitution of significant part of the base station (BS) and microwave link (ML) or optical fiber links interconnecting them.</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201" w:history="1">
              <w:r w:rsidR="00A11163" w:rsidRPr="004567E2">
                <w:rPr>
                  <w:rStyle w:val="Hyperlink"/>
                  <w:rFonts w:ascii="Times New Roman" w:hAnsi="Times New Roman" w:cs="Times New Roman"/>
                  <w:sz w:val="24"/>
                  <w:szCs w:val="24"/>
                </w:rPr>
                <w:t>ITU-T L Suppl. 31 “Setting up a low-cost sustainable telecommunication network for rural communications in developing countries using satellite systems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provides requirements for a low cost sustainable telecommunications infrastructure for rural communications in developing countries with focus on Very Small Aperture Antennas for the users. It provides details on the generic requirements set out in Recommendation ITU-T L.1700 “Requirements and framework for low-cost sustainable telecommunications infrastructure for rural communications in developing countries”. These requirements are drawn up taking account of examples of best practices from systems already in use and the special needs of remote communities such as costs and the lack of access to grid electricity. Broadband satellite is available in many countries at an entry cost comparable or even lower than terrestrial systems. To close the digital divide, developing countries should consider using broadband satellite. This will provide coverage to all rural and remote locations.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202" w:tooltip="Supplement for eco-specifications and rating criteria for mobile phones eco-rating programmes" w:history="1">
              <w:r w:rsidR="00A11163" w:rsidRPr="004567E2">
                <w:rPr>
                  <w:rStyle w:val="Hyperlink"/>
                  <w:rFonts w:ascii="Times New Roman" w:hAnsi="Times New Roman" w:cs="Times New Roman"/>
                  <w:sz w:val="24"/>
                  <w:szCs w:val="24"/>
                </w:rPr>
                <w:t>ITU-T L Suppl. 32 “Supplement for eco-specifications and rating criteria for mobile phones eco-rating programmes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outlines a baseline assessment framework and defines a minimum set of criteria to be considered when assessing the </w:t>
            </w:r>
            <w:r w:rsidR="00A11163" w:rsidRPr="004567E2">
              <w:rPr>
                <w:rFonts w:ascii="Times New Roman" w:hAnsi="Times New Roman" w:cs="Times New Roman"/>
                <w:sz w:val="24"/>
                <w:szCs w:val="24"/>
              </w:rPr>
              <w:lastRenderedPageBreak/>
              <w:t>environmental performance of mobile phones. This Supplement is designed to enable manufacturers to assess mobile phones in order to demonstrate a minimum level of environmental performance and also to achieve enhanced environmental performance.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203" w:history="1">
              <w:r w:rsidR="00A11163" w:rsidRPr="004567E2">
                <w:rPr>
                  <w:rStyle w:val="Hyperlink"/>
                  <w:rFonts w:ascii="Times New Roman" w:hAnsi="Times New Roman" w:cs="Times New Roman"/>
                  <w:sz w:val="24"/>
                  <w:szCs w:val="24"/>
                </w:rPr>
                <w:t>Recommendation ITU-T L.1700 “Requirements and framework for low-cost sustainable and affordable implementation telecommunications infrastructure for rural communications in developing countries”</w:t>
              </w:r>
            </w:hyperlink>
            <w:r w:rsidR="00A11163" w:rsidRPr="004567E2">
              <w:rPr>
                <w:rFonts w:ascii="Times New Roman" w:hAnsi="Times New Roman" w:cs="Times New Roman"/>
                <w:sz w:val="24"/>
                <w:szCs w:val="24"/>
              </w:rPr>
              <w:t xml:space="preserve"> builds on established technologies to identify the founding principles for low-cost, sustainable broadband backhaul infrastructure, with a special focus on rural communications in developing countries.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04" w:history="1">
              <w:r w:rsidR="00A11163" w:rsidRPr="004567E2">
                <w:rPr>
                  <w:rStyle w:val="Hyperlink"/>
                  <w:rFonts w:ascii="Times New Roman" w:hAnsi="Times New Roman" w:cs="Times New Roman"/>
                  <w:sz w:val="24"/>
                  <w:szCs w:val="24"/>
                </w:rPr>
                <w:t>Joint Coordination Activity on Software-Defined Networking</w:t>
              </w:r>
            </w:hyperlink>
            <w:r w:rsidR="00A11163" w:rsidRPr="004567E2">
              <w:rPr>
                <w:rFonts w:ascii="Times New Roman" w:hAnsi="Times New Roman" w:cs="Times New Roman"/>
                <w:sz w:val="24"/>
                <w:szCs w:val="24"/>
              </w:rPr>
              <w:t xml:space="preserve"> (JCA-SDN) will coordinate and help plan the work to ensure that the ITU-T standardization of SDN and its application, e.g., 5G, cloud, IoT, big data and security is progressed in a well-coordinated manner among relevant study groups, in particular, Study Group 13 on use-cases, requirements and architecture, Study Group 3 on billing, economic and regulatory considerations, Study Group 5 on energy-efficiency, Study Group 11 on protocols and interoperability, Study Group 12 on QoS, Study Group 15 on transport aspects, Study Group 16 on multimedia systems and services, and Study Group 17 on security;</w:t>
            </w:r>
          </w:p>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sz w:val="24"/>
                <w:szCs w:val="24"/>
              </w:rPr>
              <w:t>The JCA-SDN will study the SDN-related work programmes (including virtualization of network functions, programmable networks and Network as a Service) in ITU-T study groups, as well as in other SDOs, forums, consortia and open source activities, for use in its coordination function and will provide information on this work for use by the relevant study groups in planning their work.</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A11163" w:rsidP="00A11163">
            <w:pPr>
              <w:widowControl w:val="0"/>
              <w:rPr>
                <w:rFonts w:ascii="Times New Roman" w:hAnsi="Times New Roman" w:cs="Times New Roman"/>
                <w:sz w:val="24"/>
                <w:szCs w:val="24"/>
              </w:rPr>
            </w:pPr>
            <w:r w:rsidRPr="004567E2">
              <w:rPr>
                <w:rFonts w:ascii="Times New Roman" w:hAnsi="Times New Roman" w:cs="Times New Roman"/>
                <w:sz w:val="24"/>
                <w:szCs w:val="24"/>
              </w:rPr>
              <w:t>Establishment of ITU-T Focus Group on Machine Learning for Future Networks including 5G by ITU-T SG13</w:t>
            </w:r>
          </w:p>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sz w:val="24"/>
                <w:szCs w:val="24"/>
              </w:rPr>
              <w:t xml:space="preserve">A new </w:t>
            </w:r>
            <w:hyperlink r:id="rId205" w:history="1">
              <w:r w:rsidRPr="004567E2">
                <w:rPr>
                  <w:rStyle w:val="Hyperlink"/>
                  <w:rFonts w:ascii="Times New Roman" w:hAnsi="Times New Roman" w:cs="Times New Roman"/>
                  <w:sz w:val="24"/>
                  <w:szCs w:val="24"/>
                </w:rPr>
                <w:t>ITU Focus Group on Machine Learning for Future Networks including 5G</w:t>
              </w:r>
            </w:hyperlink>
            <w:r w:rsidRPr="004567E2">
              <w:rPr>
                <w:rFonts w:ascii="Times New Roman" w:hAnsi="Times New Roman" w:cs="Times New Roman"/>
                <w:sz w:val="24"/>
                <w:szCs w:val="24"/>
              </w:rPr>
              <w:t xml:space="preserve"> (FG-ML5G) will establish a basis for ITU standardization to assist machine </w:t>
            </w:r>
            <w:r w:rsidRPr="004567E2">
              <w:rPr>
                <w:rFonts w:ascii="Times New Roman" w:hAnsi="Times New Roman" w:cs="Times New Roman"/>
                <w:sz w:val="24"/>
                <w:szCs w:val="24"/>
              </w:rPr>
              <w:lastRenderedPageBreak/>
              <w:t>learning in bringing more automation and intelligence to ICT network design and management. The FG-ML5G will lead an intensive one-year investigation into where technical standardization could support emerging applications of machine learning in fields such as big data analytics, network management and orchestration, and security and data protection. An analysis of emerging use cases will inform the Focus Group’s development of technical specifications to meet the requirements of such use cases with respect to network architectures, interfaces, protocols, algorithms and data formats. The Focus Group will consider machine-learning methods’ compatibility with a wide variety of fixed and mobile communication stacks, encouraging the development of methods attuned to the operational requirements of the networking industry. Interoperability is high on the agenda. The Focus Group will propose means to train, adapt, compress and exchange machine-learning algorithms. This work will promote the emergence of an ecosystem able to support the interaction of multiple machine-learning algorithms.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lastRenderedPageBreak/>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9.1, 17.6, </w:t>
            </w:r>
            <w:r w:rsidRPr="004567E2">
              <w:rPr>
                <w:rFonts w:ascii="Times New Roman" w:hAnsi="Times New Roman" w:cs="Times New Roman"/>
                <w:sz w:val="24"/>
                <w:szCs w:val="24"/>
              </w:rPr>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A11163" w:rsidP="00A11163">
            <w:pPr>
              <w:widowControl w:val="0"/>
              <w:rPr>
                <w:rFonts w:ascii="Times New Roman" w:hAnsi="Times New Roman" w:cs="Times New Roman"/>
                <w:sz w:val="24"/>
                <w:szCs w:val="24"/>
              </w:rPr>
            </w:pPr>
            <w:r w:rsidRPr="004567E2">
              <w:rPr>
                <w:rFonts w:ascii="Times New Roman" w:hAnsi="Times New Roman" w:cs="Times New Roman"/>
                <w:sz w:val="24"/>
                <w:szCs w:val="24"/>
              </w:rPr>
              <w:t xml:space="preserve">An </w:t>
            </w:r>
            <w:hyperlink r:id="rId206" w:history="1">
              <w:r w:rsidRPr="004567E2">
                <w:rPr>
                  <w:rStyle w:val="Hyperlink"/>
                  <w:rFonts w:ascii="Times New Roman" w:hAnsi="Times New Roman" w:cs="Times New Roman"/>
                  <w:sz w:val="24"/>
                  <w:szCs w:val="24"/>
                </w:rPr>
                <w:t>ITU Workshop on Security Aspects of Blockchain</w:t>
              </w:r>
            </w:hyperlink>
            <w:r w:rsidRPr="004567E2">
              <w:rPr>
                <w:rFonts w:ascii="Times New Roman" w:hAnsi="Times New Roman" w:cs="Times New Roman"/>
                <w:sz w:val="24"/>
                <w:szCs w:val="24"/>
              </w:rPr>
              <w:t xml:space="preserve"> in Geneva, 21 March 2017, examined blockchain’s potential to build trust into a wider variety of our interactions online. Technical sessions assessed the status of blockchain technology and its application, focusing on blockchain use-cases supporting security, privacy and trust. The workshop explored the surrounding policy and regulatory environment. An expert roundtable brought together representatives of industry associations and standards bodies to identify where ITU-T SG17 could contribute to further standards collaboration in support of blockchain.</w:t>
            </w:r>
          </w:p>
        </w:tc>
        <w:tc>
          <w:tcPr>
            <w:tcW w:w="896"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C2, C4, C5,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9.1, 17.6, </w:t>
            </w:r>
            <w:r w:rsidRPr="004567E2">
              <w:rPr>
                <w:rFonts w:ascii="Times New Roman" w:hAnsi="Times New Roman" w:cs="Times New Roman"/>
                <w:sz w:val="24"/>
                <w:szCs w:val="24"/>
              </w:rPr>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207" w:history="1">
              <w:r w:rsidR="00A11163" w:rsidRPr="004567E2">
                <w:rPr>
                  <w:rStyle w:val="Hyperlink"/>
                  <w:rFonts w:ascii="Times New Roman" w:hAnsi="Times New Roman" w:cs="Times New Roman"/>
                  <w:sz w:val="24"/>
                  <w:szCs w:val="24"/>
                </w:rPr>
                <w:t xml:space="preserve">ITU-T Focus Group on </w:t>
              </w:r>
              <w:r w:rsidR="00A11163" w:rsidRPr="004567E2">
                <w:rPr>
                  <w:rStyle w:val="Hyperlink"/>
                  <w:rFonts w:ascii="Times New Roman" w:hAnsi="Times New Roman" w:cs="Times New Roman"/>
                  <w:sz w:val="24"/>
                  <w:szCs w:val="24"/>
                  <w:shd w:val="clear" w:color="auto" w:fill="FFFFFF"/>
                </w:rPr>
                <w:t>Vehicular Multimedia (</w:t>
              </w:r>
              <w:r w:rsidR="00A11163" w:rsidRPr="004567E2">
                <w:rPr>
                  <w:rStyle w:val="Hyperlink"/>
                  <w:rFonts w:ascii="Times New Roman" w:hAnsi="Times New Roman" w:cs="Times New Roman"/>
                  <w:sz w:val="24"/>
                  <w:szCs w:val="24"/>
                  <w:bdr w:val="none" w:sz="0" w:space="0" w:color="auto" w:frame="1"/>
                  <w:shd w:val="clear" w:color="auto" w:fill="FFFFFF"/>
                </w:rPr>
                <w:t>FG VM</w:t>
              </w:r>
            </w:hyperlink>
            <w:r w:rsidR="00A11163" w:rsidRPr="004567E2">
              <w:rPr>
                <w:rFonts w:ascii="Times New Roman" w:hAnsi="Times New Roman" w:cs="Times New Roman"/>
                <w:color w:val="444444"/>
                <w:sz w:val="24"/>
                <w:szCs w:val="24"/>
                <w:shd w:val="clear" w:color="auto" w:fill="FFFFFF"/>
              </w:rPr>
              <w:t xml:space="preserve">), which </w:t>
            </w:r>
            <w:r w:rsidR="00A11163" w:rsidRPr="004567E2">
              <w:rPr>
                <w:rFonts w:ascii="Times New Roman" w:hAnsi="Times New Roman" w:cs="Times New Roman"/>
                <w:sz w:val="24"/>
                <w:szCs w:val="24"/>
              </w:rPr>
              <w:t xml:space="preserve">will identify the need for new vehicular multimedia standards based on space and terrestrial networks integration. The study will evaluate related software, hardware, and valued-added service to derive use cases. It focuses on vehicular multimedia services and infotainment applications, not aiming at changing existing transmission protocols and channels, such as terrestrial broadcasting, satellite </w:t>
            </w:r>
            <w:r w:rsidR="00A11163" w:rsidRPr="004567E2">
              <w:rPr>
                <w:rFonts w:ascii="Times New Roman" w:hAnsi="Times New Roman" w:cs="Times New Roman"/>
                <w:sz w:val="24"/>
                <w:szCs w:val="24"/>
              </w:rPr>
              <w:lastRenderedPageBreak/>
              <w:t>broadcasting, and mobile cellular network. This Focus Group will, inter alia, develop corresponding use cases and requirements of vehicular multimedia enabled by converged networks; study architectures, interfaces, protocols, data formats, interoperability, performance evaluation, security and protection of personal information for vehicular multimedia; and produce a gap analysis of vehicular multimedia standardization in order to identify the relevant scope of possible future ITU-T Recommendations on these topics and develop a roadmap for vehicular multimedia.</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SG9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208" w:history="1">
              <w:r w:rsidR="00A11163" w:rsidRPr="004567E2">
                <w:rPr>
                  <w:rStyle w:val="Hyperlink"/>
                  <w:rFonts w:ascii="Times New Roman" w:hAnsi="Times New Roman" w:cs="Times New Roman"/>
                  <w:bCs/>
                  <w:sz w:val="24"/>
                  <w:szCs w:val="24"/>
                </w:rPr>
                <w:t>Recommendation ITU-T J.207 “Specification for integrated broadcast and broadband digital television application control framework”</w:t>
              </w:r>
            </w:hyperlink>
            <w:r w:rsidR="00A11163" w:rsidRPr="004567E2">
              <w:rPr>
                <w:rFonts w:ascii="Times New Roman" w:hAnsi="Times New Roman" w:cs="Times New Roman"/>
                <w:bCs/>
                <w:sz w:val="24"/>
                <w:szCs w:val="24"/>
              </w:rPr>
              <w:t xml:space="preserve"> provides guidance for administrations and entities who intend to provide integrated broadcast-broadband digital television (DTV) services in the development of integrated broadcast-broadband system solutions. This Recommendation also defines high-level application programming interfaces (APIs) needed to implement an application control framework for DTV-enabled devices. This framework is responsible for managing, integrating and controlling the interactive content and applications available through DTV services installed by the end user or embedded by the device manufacturer and providing a unified execution environment for them.</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C9</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SG9 results</w:t>
            </w:r>
          </w:p>
        </w:tc>
        <w:tc>
          <w:tcPr>
            <w:tcW w:w="8278" w:type="dxa"/>
          </w:tcPr>
          <w:p w:rsidR="00A11163" w:rsidRPr="004567E2" w:rsidRDefault="007835EF" w:rsidP="00A11163">
            <w:pPr>
              <w:widowControl w:val="0"/>
              <w:rPr>
                <w:rFonts w:ascii="Times New Roman" w:hAnsi="Times New Roman" w:cs="Times New Roman"/>
                <w:bCs/>
                <w:sz w:val="24"/>
                <w:szCs w:val="24"/>
              </w:rPr>
            </w:pPr>
            <w:hyperlink r:id="rId209" w:history="1">
              <w:r w:rsidR="00A11163" w:rsidRPr="004567E2">
                <w:rPr>
                  <w:rStyle w:val="Hyperlink"/>
                  <w:rFonts w:ascii="Times New Roman" w:hAnsi="Times New Roman" w:cs="Times New Roman"/>
                  <w:bCs/>
                  <w:sz w:val="24"/>
                  <w:szCs w:val="24"/>
                </w:rPr>
                <w:t>Recommendation ITU-T J.297 “Requirements and functional specification of cable set top box for 4K ultra high definition television”</w:t>
              </w:r>
            </w:hyperlink>
            <w:r w:rsidR="00A11163" w:rsidRPr="004567E2">
              <w:rPr>
                <w:rFonts w:ascii="Times New Roman" w:hAnsi="Times New Roman" w:cs="Times New Roman"/>
                <w:bCs/>
                <w:sz w:val="24"/>
                <w:szCs w:val="24"/>
              </w:rPr>
              <w:t xml:space="preserve"> adds Multiplex method for TLV and channel bonding in functional specification part and new function HDR for 4K ultra high definition service as well as several editorial modifications and updates in Appendix.</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C9</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SG9 results</w:t>
            </w:r>
          </w:p>
        </w:tc>
        <w:tc>
          <w:tcPr>
            <w:tcW w:w="8278" w:type="dxa"/>
          </w:tcPr>
          <w:p w:rsidR="00A11163" w:rsidRPr="004567E2" w:rsidRDefault="007835EF" w:rsidP="00A11163">
            <w:pPr>
              <w:widowControl w:val="0"/>
              <w:rPr>
                <w:rStyle w:val="Hyperlink"/>
                <w:rFonts w:ascii="Times New Roman" w:hAnsi="Times New Roman" w:cs="Times New Roman"/>
                <w:bCs/>
                <w:sz w:val="24"/>
                <w:szCs w:val="24"/>
              </w:rPr>
            </w:pPr>
            <w:hyperlink r:id="rId210" w:history="1">
              <w:r w:rsidR="00A11163" w:rsidRPr="004567E2">
                <w:rPr>
                  <w:rStyle w:val="Hyperlink"/>
                  <w:rFonts w:ascii="Times New Roman" w:hAnsi="Times New Roman" w:cs="Times New Roman"/>
                  <w:sz w:val="24"/>
                  <w:szCs w:val="24"/>
                </w:rPr>
                <w:t>Recommendation</w:t>
              </w:r>
              <w:r w:rsidR="00A11163" w:rsidRPr="004567E2">
                <w:rPr>
                  <w:rStyle w:val="Hyperlink"/>
                  <w:rFonts w:ascii="Times New Roman" w:hAnsi="Times New Roman" w:cs="Times New Roman"/>
                  <w:bCs/>
                  <w:sz w:val="24"/>
                  <w:szCs w:val="24"/>
                </w:rPr>
                <w:t xml:space="preserve"> ITU-T J.302 “System Specifications of Augmented Reality Smart Television Service”</w:t>
              </w:r>
            </w:hyperlink>
            <w:r w:rsidR="00A11163" w:rsidRPr="004567E2">
              <w:rPr>
                <w:rFonts w:ascii="Times New Roman" w:hAnsi="Times New Roman" w:cs="Times New Roman"/>
                <w:bCs/>
                <w:sz w:val="24"/>
                <w:szCs w:val="24"/>
              </w:rPr>
              <w:t xml:space="preserve"> </w:t>
            </w:r>
            <w:r w:rsidR="00A11163" w:rsidRPr="004567E2">
              <w:rPr>
                <w:rFonts w:ascii="Times New Roman" w:hAnsi="Times New Roman" w:cs="Times New Roman"/>
                <w:sz w:val="24"/>
                <w:szCs w:val="24"/>
              </w:rPr>
              <w:t>specifies the related technologies that should be implemented for augmented reality smart television system; allowing TV viewers to choose whether a user turns on the augmented content or watches the original TV content only (without the augmented content).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C2, C6, C9</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SG9 results</w:t>
            </w:r>
          </w:p>
        </w:tc>
        <w:tc>
          <w:tcPr>
            <w:tcW w:w="8278" w:type="dxa"/>
          </w:tcPr>
          <w:p w:rsidR="00A11163" w:rsidRPr="004567E2" w:rsidRDefault="007835EF" w:rsidP="00A11163">
            <w:pPr>
              <w:widowControl w:val="0"/>
              <w:rPr>
                <w:rFonts w:ascii="Times New Roman" w:hAnsi="Times New Roman" w:cs="Times New Roman"/>
                <w:bCs/>
                <w:sz w:val="24"/>
                <w:szCs w:val="24"/>
              </w:rPr>
            </w:pPr>
            <w:hyperlink r:id="rId211" w:history="1">
              <w:r w:rsidR="00A11163" w:rsidRPr="004567E2">
                <w:rPr>
                  <w:rStyle w:val="Hyperlink"/>
                  <w:rFonts w:ascii="Times New Roman" w:hAnsi="Times New Roman" w:cs="Times New Roman"/>
                  <w:bCs/>
                  <w:sz w:val="24"/>
                  <w:szCs w:val="24"/>
                </w:rPr>
                <w:t>Recommendation ITU-T J.382 “Advanced digital downstream transmission systems for television, sound and data services for cable distribution”</w:t>
              </w:r>
            </w:hyperlink>
            <w:r w:rsidR="00A11163" w:rsidRPr="004567E2">
              <w:rPr>
                <w:rFonts w:ascii="Times New Roman" w:hAnsi="Times New Roman" w:cs="Times New Roman"/>
                <w:bCs/>
                <w:sz w:val="24"/>
                <w:szCs w:val="24"/>
              </w:rPr>
              <w:t xml:space="preserve"> provides specifications that should be considered for advanced digital cable downstream transmission technologies to provide high spectral efficiency schemes saving transmission resources for downstream in hybrid fibre coax (HFC) based networks. This Recommendation covers the common definition of framing structure, channel coding and modulation for television, sound and data services including high quality broadcast and multicast services distributed through HFC based networks.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C9</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SG9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212" w:history="1">
              <w:r w:rsidR="00A11163" w:rsidRPr="004567E2">
                <w:rPr>
                  <w:rStyle w:val="Hyperlink"/>
                  <w:rFonts w:ascii="Times New Roman" w:hAnsi="Times New Roman" w:cs="Times New Roman"/>
                  <w:bCs/>
                  <w:sz w:val="24"/>
                  <w:szCs w:val="24"/>
                </w:rPr>
                <w:t>Recommendation ITU-T J.1020 “Service model and architecture of downloadable mobile multi-CA/DRM solutions for delivering CA/DRM client software to secondary device”</w:t>
              </w:r>
            </w:hyperlink>
            <w:r w:rsidR="00A11163" w:rsidRPr="004567E2">
              <w:rPr>
                <w:rFonts w:ascii="Times New Roman" w:hAnsi="Times New Roman" w:cs="Times New Roman"/>
                <w:bCs/>
                <w:sz w:val="24"/>
                <w:szCs w:val="24"/>
              </w:rPr>
              <w:t xml:space="preserve"> the reference service model, the architecture, and the service operation protocols which are needed for multi-CA/DRM service based on downloadable scheme. The downloadable scheme in this [draft new] Recommendation means downloading CA/DRM client software images from the multichannel video programming distributor (MVPD) or broadcaster to a secondary device such as smart phone, tablet, and laptop PC that are connected to a primary customer premises equipment (CPE) such as a set-top box. Service providers can change CA/DRM solutions for the secondary device from one to the other using on-line methods as well as operate multiple CA/DRM solutions at the same time.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C2, C9,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SG9 results</w:t>
            </w:r>
          </w:p>
        </w:tc>
        <w:tc>
          <w:tcPr>
            <w:tcW w:w="8278" w:type="dxa"/>
          </w:tcPr>
          <w:p w:rsidR="00A11163" w:rsidRPr="004567E2" w:rsidRDefault="007835EF" w:rsidP="00A11163">
            <w:pPr>
              <w:rPr>
                <w:rStyle w:val="Hyperlink"/>
                <w:rFonts w:ascii="Times New Roman" w:hAnsi="Times New Roman" w:cs="Times New Roman"/>
                <w:bCs/>
                <w:sz w:val="24"/>
                <w:szCs w:val="24"/>
              </w:rPr>
            </w:pPr>
            <w:hyperlink r:id="rId213" w:history="1">
              <w:r w:rsidR="00A11163" w:rsidRPr="004567E2">
                <w:rPr>
                  <w:rStyle w:val="Hyperlink"/>
                  <w:rFonts w:ascii="Times New Roman" w:hAnsi="Times New Roman" w:cs="Times New Roman"/>
                  <w:sz w:val="24"/>
                  <w:szCs w:val="24"/>
                </w:rPr>
                <w:t>Recommendation ITU-T J.1104 “Control specification for IP-based switched digital video using Data Over Cable Service Interface Specifications”</w:t>
              </w:r>
            </w:hyperlink>
            <w:r w:rsidR="00A11163" w:rsidRPr="004567E2">
              <w:rPr>
                <w:rFonts w:ascii="Times New Roman" w:hAnsi="Times New Roman" w:cs="Times New Roman"/>
                <w:bCs/>
                <w:sz w:val="24"/>
                <w:szCs w:val="24"/>
              </w:rPr>
              <w:t xml:space="preserve"> describes the operator control specifications of IP-based switched digital video (SDV) using data over cable service interface specifications (DOCSIS) in a digital cable networks.</w:t>
            </w:r>
          </w:p>
        </w:tc>
        <w:tc>
          <w:tcPr>
            <w:tcW w:w="896"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C2, C9</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SG9 results</w:t>
            </w:r>
          </w:p>
        </w:tc>
        <w:tc>
          <w:tcPr>
            <w:tcW w:w="8278" w:type="dxa"/>
          </w:tcPr>
          <w:p w:rsidR="00A11163" w:rsidRPr="004567E2" w:rsidRDefault="007835EF" w:rsidP="00A11163">
            <w:pPr>
              <w:rPr>
                <w:rStyle w:val="Hyperlink"/>
                <w:rFonts w:ascii="Times New Roman" w:hAnsi="Times New Roman" w:cs="Times New Roman"/>
                <w:bCs/>
                <w:sz w:val="24"/>
                <w:szCs w:val="24"/>
              </w:rPr>
            </w:pPr>
            <w:hyperlink r:id="rId214" w:history="1">
              <w:r w:rsidR="00A11163" w:rsidRPr="004567E2">
                <w:rPr>
                  <w:rStyle w:val="Hyperlink"/>
                  <w:rFonts w:ascii="Times New Roman" w:hAnsi="Times New Roman" w:cs="Times New Roman"/>
                  <w:bCs/>
                  <w:sz w:val="24"/>
                  <w:szCs w:val="24"/>
                </w:rPr>
                <w:t>Recommendation ITU-T J.1106 “Requirement for Radio over IP transmission system”</w:t>
              </w:r>
            </w:hyperlink>
            <w:r w:rsidR="00A11163" w:rsidRPr="004567E2">
              <w:rPr>
                <w:rFonts w:ascii="Times New Roman" w:hAnsi="Times New Roman" w:cs="Times New Roman"/>
                <w:bCs/>
                <w:sz w:val="24"/>
                <w:szCs w:val="24"/>
              </w:rPr>
              <w:t xml:space="preserve"> (under approval) provides a cost-effective solution to adapt the HFC-based cable TV network devices into optic-based cable TV network devices.</w:t>
            </w:r>
          </w:p>
        </w:tc>
        <w:tc>
          <w:tcPr>
            <w:tcW w:w="896"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C2, C6, C9</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SG9 results</w:t>
            </w:r>
          </w:p>
        </w:tc>
        <w:tc>
          <w:tcPr>
            <w:tcW w:w="8278" w:type="dxa"/>
          </w:tcPr>
          <w:p w:rsidR="00A11163" w:rsidRPr="004567E2" w:rsidRDefault="007835EF" w:rsidP="00A11163">
            <w:pPr>
              <w:rPr>
                <w:rStyle w:val="Hyperlink"/>
                <w:rFonts w:ascii="Times New Roman" w:hAnsi="Times New Roman" w:cs="Times New Roman"/>
                <w:bCs/>
                <w:sz w:val="24"/>
                <w:szCs w:val="24"/>
              </w:rPr>
            </w:pPr>
            <w:hyperlink r:id="rId215" w:history="1">
              <w:r w:rsidR="00A11163" w:rsidRPr="004567E2">
                <w:rPr>
                  <w:rStyle w:val="Hyperlink"/>
                  <w:rFonts w:ascii="Times New Roman" w:hAnsi="Times New Roman" w:cs="Times New Roman"/>
                  <w:bCs/>
                  <w:sz w:val="24"/>
                  <w:szCs w:val="24"/>
                </w:rPr>
                <w:t>Recommendation ITU-T J.1107 “Architecture and specification for Radio over IP transmission systems”</w:t>
              </w:r>
            </w:hyperlink>
            <w:r w:rsidR="00A11163" w:rsidRPr="004567E2">
              <w:rPr>
                <w:rFonts w:ascii="Times New Roman" w:hAnsi="Times New Roman" w:cs="Times New Roman"/>
                <w:bCs/>
                <w:sz w:val="24"/>
                <w:szCs w:val="24"/>
              </w:rPr>
              <w:t xml:space="preserve"> provide a cost-effective adaptable solution for HFC-based cable TV network devices in optic-based cable TV network. The purpose of RoIP </w:t>
            </w:r>
            <w:r w:rsidR="00A11163" w:rsidRPr="004567E2">
              <w:rPr>
                <w:rFonts w:ascii="Times New Roman" w:hAnsi="Times New Roman" w:cs="Times New Roman"/>
                <w:bCs/>
                <w:sz w:val="24"/>
                <w:szCs w:val="24"/>
              </w:rPr>
              <w:lastRenderedPageBreak/>
              <w:t>system is to transmit Data Over Cable Service Interface Specifications (DOCSIS) based Up Stream (US) RF signal of Cable Modem (CM) to Cable Modem Termination System (CMTS) through IP transmission in optic-based cable TV network.</w:t>
            </w:r>
          </w:p>
        </w:tc>
        <w:tc>
          <w:tcPr>
            <w:tcW w:w="896"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lastRenderedPageBreak/>
              <w:t>C2, C6, C9</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sz w:val="24"/>
                <w:szCs w:val="24"/>
              </w:rPr>
              <w:t>Initiation of two-year pilot project with Dubai and Singapore to evaluate the feasibility of ITU KPI for smart cities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9.1, 11.3</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sz w:val="24"/>
                <w:szCs w:val="24"/>
              </w:rPr>
              <w:t>ITU-T has been actively conducting research on smart cities through its Focus Group on Smart Sustainable Cities (FG-SSC) and SG20. Through its research on ICT infrastructures and SSC topics, ITU has highlighted the pivotal role that an ICT-based infrastructure can play in establishing smart reliable, resilient sustainable cities and communities to improve overall quality of life, efficiency of urban and rural operations and services in such a way that the needs of the present and future generations are fulfilled in terms of economic, social, environmental, as well as cultural aspects.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 C8</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216" w:history="1">
              <w:r w:rsidR="00A11163" w:rsidRPr="004567E2">
                <w:rPr>
                  <w:rStyle w:val="Hyperlink"/>
                  <w:rFonts w:ascii="Times New Roman" w:hAnsi="Times New Roman" w:cs="Times New Roman"/>
                  <w:sz w:val="24"/>
                  <w:szCs w:val="24"/>
                </w:rPr>
                <w:t>Recommendation ITU T Q.1912.5 “Interworking between Session Initiation Protocol (SIP) and Bearer Independent Call Control protocol or ISDN User Part”</w:t>
              </w:r>
            </w:hyperlink>
            <w:r w:rsidR="00A11163" w:rsidRPr="004567E2">
              <w:rPr>
                <w:rFonts w:ascii="Times New Roman" w:hAnsi="Times New Roman" w:cs="Times New Roman"/>
                <w:sz w:val="24"/>
                <w:szCs w:val="24"/>
              </w:rPr>
              <w:t xml:space="preserve"> defines the signalling interworking between the Bearer Independent Call Control (BICC) or ISDN User Part (ISUP) protocols and SIP in order to support services that can be commonly supported by BICC or ISUP and SIP-based network domains. It includes assured early dialogue, end-to-end support for ISDN user equipment, support of number portability and support interworking of supplementary services.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17" w:history="1">
              <w:r w:rsidR="00A11163" w:rsidRPr="004567E2">
                <w:rPr>
                  <w:rStyle w:val="Hyperlink"/>
                  <w:rFonts w:ascii="Times New Roman" w:hAnsi="Times New Roman" w:cs="Times New Roman"/>
                  <w:sz w:val="24"/>
                  <w:szCs w:val="24"/>
                </w:rPr>
                <w:t>Recommendation ITU-T Q.3405 “IPv6 protocol procedures for broadband services”</w:t>
              </w:r>
            </w:hyperlink>
            <w:r w:rsidR="00A11163" w:rsidRPr="004567E2">
              <w:rPr>
                <w:rStyle w:val="Hyperlink"/>
                <w:rFonts w:ascii="Times New Roman" w:hAnsi="Times New Roman" w:cs="Times New Roman"/>
                <w:color w:val="auto"/>
                <w:sz w:val="24"/>
                <w:szCs w:val="24"/>
                <w:u w:val="none"/>
              </w:rPr>
              <w:t xml:space="preserve"> identifies the IPv6 protocol procedures which support broadband services with IPv6 transition. The protocol procedures are specified according to three basic IPv6 transition modes, including dual stack, tunnelling and translation.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218" w:history="1">
              <w:r w:rsidR="00A11163" w:rsidRPr="004567E2">
                <w:rPr>
                  <w:rStyle w:val="Hyperlink"/>
                  <w:rFonts w:ascii="Times New Roman" w:hAnsi="Times New Roman" w:cs="Times New Roman"/>
                  <w:sz w:val="24"/>
                  <w:szCs w:val="24"/>
                </w:rPr>
                <w:t>Recommendation ITU-T Q.3640 “Framework of interconnection of VoLTE/ViLTE-based networks”</w:t>
              </w:r>
            </w:hyperlink>
            <w:r w:rsidR="00A11163" w:rsidRPr="004567E2">
              <w:rPr>
                <w:rFonts w:ascii="Times New Roman" w:hAnsi="Times New Roman" w:cs="Times New Roman"/>
                <w:sz w:val="24"/>
                <w:szCs w:val="24"/>
              </w:rPr>
              <w:t xml:space="preserve"> specifies the high-level framework of interconnection of LTE-based networks for providing interoperable voice and video </w:t>
            </w:r>
            <w:r w:rsidR="00A11163" w:rsidRPr="004567E2">
              <w:rPr>
                <w:rFonts w:ascii="Times New Roman" w:hAnsi="Times New Roman" w:cs="Times New Roman"/>
                <w:sz w:val="24"/>
                <w:szCs w:val="24"/>
              </w:rPr>
              <w:lastRenderedPageBreak/>
              <w:t>services.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219" w:history="1">
              <w:r w:rsidR="00A11163" w:rsidRPr="004567E2">
                <w:rPr>
                  <w:rStyle w:val="Hyperlink"/>
                  <w:rFonts w:ascii="Times New Roman" w:hAnsi="Times New Roman" w:cs="Times New Roman"/>
                  <w:sz w:val="24"/>
                  <w:szCs w:val="24"/>
                </w:rPr>
                <w:t>Recommendation ITU-T Q.3641 “IMS references to Release 11 for communication between IMS and NGN Networks in order to support the end-to-end service interoperability”</w:t>
              </w:r>
            </w:hyperlink>
            <w:r w:rsidR="00A11163" w:rsidRPr="004567E2">
              <w:rPr>
                <w:rStyle w:val="Hyperlink"/>
                <w:rFonts w:ascii="Times New Roman" w:hAnsi="Times New Roman" w:cs="Times New Roman"/>
                <w:color w:val="auto"/>
                <w:sz w:val="24"/>
                <w:szCs w:val="24"/>
                <w:u w:val="none"/>
              </w:rPr>
              <w:t xml:space="preserve"> identifies the IMS IP-Multimedia Subsystem specifications for the "ETSI Release 11" as base for the communication between IMS and NGN Network in order to support end-to-end service interoperability.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220" w:history="1">
              <w:r w:rsidR="00A11163" w:rsidRPr="004567E2">
                <w:rPr>
                  <w:rStyle w:val="Hyperlink"/>
                  <w:rFonts w:ascii="Times New Roman" w:hAnsi="Times New Roman" w:cs="Times New Roman"/>
                  <w:sz w:val="24"/>
                  <w:szCs w:val="24"/>
                </w:rPr>
                <w:t>Recommendation ITU-T Q.3714 “Signalling requirements of SDN-based access networks with media independent management capabilities”</w:t>
              </w:r>
            </w:hyperlink>
            <w:r w:rsidR="00A11163" w:rsidRPr="004567E2">
              <w:rPr>
                <w:rFonts w:ascii="Times New Roman" w:hAnsi="Times New Roman" w:cs="Times New Roman"/>
                <w:sz w:val="24"/>
                <w:szCs w:val="24"/>
              </w:rPr>
              <w:t xml:space="preserve"> provides signalling architecture, signalling requirements, and signalling protocol procedures for SDN-based access networks with media independent management (MIM) capabilities. It defines signalling architecture models of the SDN-based access networks with MIM capabilities. The signalling architecture models are described for loosely and tightly coupled integrations between SDN and MIM control frameworks. Signalling requirements and protocol procedures for resource management and seamless handover are described for each signalling architecture model.</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221" w:history="1">
              <w:r w:rsidR="00A11163" w:rsidRPr="004567E2">
                <w:rPr>
                  <w:rStyle w:val="Hyperlink"/>
                  <w:rFonts w:ascii="Times New Roman" w:hAnsi="Times New Roman" w:cs="Times New Roman"/>
                  <w:sz w:val="24"/>
                  <w:szCs w:val="24"/>
                </w:rPr>
                <w:t>Recommendation ITU-T Q.3715 “Signalling requirements for dynamic bandwidth adjustment on demand on broadband network gateway implemented by software defined networking technologies”</w:t>
              </w:r>
            </w:hyperlink>
            <w:r w:rsidR="00A11163" w:rsidRPr="004567E2">
              <w:rPr>
                <w:rFonts w:ascii="Times New Roman" w:hAnsi="Times New Roman" w:cs="Times New Roman"/>
                <w:sz w:val="24"/>
                <w:szCs w:val="24"/>
              </w:rPr>
              <w:t xml:space="preserve"> describes the architecture and signalling requirements for dynamic bandwidth adjustment on demand on broadband network gateway implemented by software defined networking technologies. The objective is to enhance the intelligent control of broadband networks, provide open southbound interfaces to network devices, support extensible capability for open northbound interfaces to service platform, and then build flexible, intelligent, secure next-generation broadband network and service system.</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222" w:history="1">
              <w:r w:rsidR="00A11163" w:rsidRPr="004567E2">
                <w:rPr>
                  <w:rStyle w:val="Hyperlink"/>
                  <w:rFonts w:ascii="Times New Roman" w:hAnsi="Times New Roman" w:cs="Times New Roman"/>
                  <w:sz w:val="24"/>
                  <w:szCs w:val="24"/>
                </w:rPr>
                <w:t>Recommendation ITU-T Q.3716 “Signalling Requirements for Mapping between Physical and Virtual Networks”</w:t>
              </w:r>
            </w:hyperlink>
            <w:r w:rsidR="00A11163" w:rsidRPr="004567E2">
              <w:rPr>
                <w:rFonts w:ascii="Times New Roman" w:hAnsi="Times New Roman" w:cs="Times New Roman"/>
                <w:sz w:val="24"/>
                <w:szCs w:val="24"/>
              </w:rPr>
              <w:t xml:space="preserve"> specifies signalling requirement for mapping between SDN based physical underlay networks and virtual overlay networks, by architecturally adding dedicated functional components and the corresponding interfaces in the SDN framework.</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223" w:history="1">
              <w:r w:rsidR="00A11163" w:rsidRPr="004567E2">
                <w:rPr>
                  <w:rStyle w:val="Hyperlink"/>
                  <w:rFonts w:ascii="Times New Roman" w:hAnsi="Times New Roman" w:cs="Times New Roman"/>
                  <w:sz w:val="24"/>
                  <w:szCs w:val="24"/>
                </w:rPr>
                <w:t>Recommendation ITU-T Q.3717 “Signalling requirements for automatic management of IP address pool by SDN technologies on BNG”</w:t>
              </w:r>
            </w:hyperlink>
            <w:r w:rsidR="00A11163" w:rsidRPr="004567E2">
              <w:rPr>
                <w:rStyle w:val="Hyperlink"/>
                <w:rFonts w:ascii="Times New Roman" w:hAnsi="Times New Roman" w:cs="Times New Roman"/>
                <w:color w:val="auto"/>
                <w:sz w:val="24"/>
                <w:szCs w:val="24"/>
                <w:u w:val="none"/>
              </w:rPr>
              <w:t xml:space="preserve"> describes the signalling requirements for the implementation of automatic management and efficient utilization of IP address resources using software defined networking technologies on broadband network gateways. The signalling is used to automatically implement allocation, monitor and reclaim of IP address resources.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224" w:history="1">
              <w:r w:rsidR="00A11163" w:rsidRPr="004567E2">
                <w:rPr>
                  <w:rStyle w:val="Hyperlink"/>
                  <w:rFonts w:ascii="Times New Roman" w:hAnsi="Times New Roman" w:cs="Times New Roman"/>
                  <w:sz w:val="24"/>
                  <w:szCs w:val="24"/>
                </w:rPr>
                <w:t>Recommendation ITU-T Q.3718 “Signalling requirements of the Sew interface for Virtual Data Center”</w:t>
              </w:r>
            </w:hyperlink>
            <w:r w:rsidR="00A11163" w:rsidRPr="004567E2">
              <w:rPr>
                <w:rStyle w:val="Hyperlink"/>
                <w:rFonts w:ascii="Times New Roman" w:hAnsi="Times New Roman" w:cs="Times New Roman"/>
                <w:color w:val="auto"/>
                <w:sz w:val="24"/>
                <w:szCs w:val="24"/>
                <w:u w:val="none"/>
              </w:rPr>
              <w:t xml:space="preserve"> focuses on the inter-domain Sew interface which is standardized to allow for multiple control entities within Virtual Data Center (VDC). In VDC, the SDN control entities exchanges the control plane related information with each other through the Sew interface.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225" w:history="1">
              <w:r w:rsidR="00A11163" w:rsidRPr="004567E2">
                <w:rPr>
                  <w:rStyle w:val="Hyperlink"/>
                  <w:rFonts w:ascii="Times New Roman" w:hAnsi="Times New Roman" w:cs="Times New Roman"/>
                  <w:sz w:val="24"/>
                  <w:szCs w:val="24"/>
                </w:rPr>
                <w:t>Recommendation ITU-T Q.3740 “Signalling requirements for SDN and NFV based Central Office services”</w:t>
              </w:r>
            </w:hyperlink>
            <w:r w:rsidR="00A11163" w:rsidRPr="004567E2">
              <w:rPr>
                <w:rFonts w:ascii="Times New Roman" w:hAnsi="Times New Roman" w:cs="Times New Roman"/>
                <w:sz w:val="24"/>
                <w:szCs w:val="24"/>
              </w:rPr>
              <w:t xml:space="preserve"> specifies the signalling requirements of Si interface between Software-Defined Networking (SDN) controller and Network Function Virtualization Orchestration (NFVO) for SDN and Network Function Virtualization (NFV) based central office services.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226" w:history="1">
              <w:r w:rsidR="00A11163" w:rsidRPr="004567E2">
                <w:rPr>
                  <w:rStyle w:val="Hyperlink"/>
                  <w:rFonts w:ascii="Times New Roman" w:hAnsi="Times New Roman" w:cs="Times New Roman"/>
                  <w:sz w:val="24"/>
                  <w:szCs w:val="24"/>
                </w:rPr>
                <w:t>Recommendation ITU-T Q.3914 “Set of parameters of cloud computing for monitoring”</w:t>
              </w:r>
            </w:hyperlink>
            <w:r w:rsidR="00A11163" w:rsidRPr="004567E2">
              <w:rPr>
                <w:rFonts w:ascii="Times New Roman" w:hAnsi="Times New Roman" w:cs="Times New Roman"/>
                <w:sz w:val="24"/>
                <w:szCs w:val="24"/>
              </w:rPr>
              <w:t xml:space="preserve"> gives functional reference architecture of cloud computing according to Y.3500. This Recommendation provides a set of parameters that indicate the status and event of a cloud computing system, including resource layer, service layer and access layer.</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27" w:history="1">
              <w:r w:rsidR="00A11163" w:rsidRPr="004567E2">
                <w:rPr>
                  <w:rStyle w:val="Hyperlink"/>
                  <w:rFonts w:ascii="Times New Roman" w:hAnsi="Times New Roman" w:cs="Times New Roman"/>
                  <w:sz w:val="24"/>
                  <w:szCs w:val="24"/>
                </w:rPr>
                <w:t>Recommendation ITU-T Q.3930 “Performance testing of distributed systems - Concepts and terminology”</w:t>
              </w:r>
            </w:hyperlink>
            <w:r w:rsidR="00A11163" w:rsidRPr="004567E2">
              <w:rPr>
                <w:rFonts w:ascii="Times New Roman" w:hAnsi="Times New Roman" w:cs="Times New Roman"/>
                <w:sz w:val="24"/>
                <w:szCs w:val="24"/>
              </w:rPr>
              <w:t xml:space="preserve"> describes terminology and concepts of performance tests with a generalized view of performance characteristics as the starting point.</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What kind of characteristics are indicators of a product's performance and what kind of measurement data is captured and processed to provide relevant figures on requested performance are in this view the core of performance testing.</w:t>
            </w:r>
          </w:p>
          <w:p w:rsidR="00A11163" w:rsidRPr="004567E2" w:rsidRDefault="00A11163" w:rsidP="00A11163">
            <w:pPr>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lastRenderedPageBreak/>
              <w:t>The Recommendation includes a set of terminology and descriptions of concepts in performance testing that could be accepted as a common base for descriptions of performance and performance tests.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228" w:history="1">
              <w:r w:rsidR="00A11163" w:rsidRPr="004567E2">
                <w:rPr>
                  <w:rStyle w:val="Hyperlink"/>
                  <w:rFonts w:ascii="Times New Roman" w:hAnsi="Times New Roman" w:cs="Times New Roman"/>
                  <w:sz w:val="24"/>
                  <w:szCs w:val="24"/>
                </w:rPr>
                <w:t>Recommendation ITU-T Q.3931.1 “Performance benchmark for the PSTN/ISDN emulation subsystem of an IP multimedia system - Part 1: Core concepts”</w:t>
              </w:r>
            </w:hyperlink>
            <w:r w:rsidR="00A11163" w:rsidRPr="004567E2">
              <w:rPr>
                <w:rFonts w:ascii="Times New Roman" w:hAnsi="Times New Roman" w:cs="Times New Roman"/>
                <w:sz w:val="24"/>
                <w:szCs w:val="24"/>
              </w:rPr>
              <w:t xml:space="preserve"> describes the core concepts of testing to establish a performance benchmark for an initial release of a PSTN/ISDN emulation subsystem (PES). The same tests can be used also for legacy PSTN/ISDN networks or for interworking tests between a PSTN/ISDN emulation subsystem and legacy PSTN and ISDN. The metrics measured and reported are for performance of this subsystem under a communications application load. This Recommendation covers Part 1 - Core Concepts, the first of the four performance aspects.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229" w:history="1">
              <w:r w:rsidR="00A11163" w:rsidRPr="004567E2">
                <w:rPr>
                  <w:rStyle w:val="Hyperlink"/>
                  <w:rFonts w:ascii="Times New Roman" w:hAnsi="Times New Roman" w:cs="Times New Roman"/>
                  <w:sz w:val="24"/>
                  <w:szCs w:val="24"/>
                </w:rPr>
                <w:t>Recommendation ITU-T Q.3931.2 “Performance benchmark for the PSTN/ISDN emulation subsystem of an IP multimedia system - Part 2: Subsystem configurations and benchmarks”</w:t>
              </w:r>
            </w:hyperlink>
            <w:r w:rsidR="00A11163" w:rsidRPr="004567E2">
              <w:rPr>
                <w:rFonts w:ascii="Times New Roman" w:hAnsi="Times New Roman" w:cs="Times New Roman"/>
                <w:sz w:val="24"/>
                <w:szCs w:val="24"/>
              </w:rPr>
              <w:t xml:space="preserve"> describes the subsystem configurations and benchmarks to establish a performance benchmark for an initial release of a PSTN/ISDN emulation subsystem (PES). The same tests can be used also for legacy PSTN/ISDN networks or for interworking tests between a PSTN/ISDN emulation subsystem and legacy PSTN and ISDN. The metrics measured and reported are for performance of this subsystem under a communications application load. This Recommendation covers "Part 2, Subsystem Configurations and Benchmarks", the second of the four performance aspects.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30" w:history="1">
              <w:r w:rsidR="00A11163" w:rsidRPr="004567E2">
                <w:rPr>
                  <w:rStyle w:val="Hyperlink"/>
                  <w:rFonts w:ascii="Times New Roman" w:hAnsi="Times New Roman" w:cs="Times New Roman"/>
                  <w:sz w:val="24"/>
                  <w:szCs w:val="24"/>
                </w:rPr>
                <w:t>Recommendation ITU-T Q.3931.3 “Performance benchmark for the PSTN/ISDN emulation subsystem of an IP multimedia system - Part 3: Traffic sets and traffic profiles”</w:t>
              </w:r>
            </w:hyperlink>
            <w:r w:rsidR="00A11163" w:rsidRPr="004567E2">
              <w:rPr>
                <w:rFonts w:ascii="Times New Roman" w:hAnsi="Times New Roman" w:cs="Times New Roman"/>
                <w:sz w:val="24"/>
                <w:szCs w:val="24"/>
              </w:rPr>
              <w:t xml:space="preserve"> proposes the performance benchmark for the PSTN/ISDN emulation subsystem of an IP multimedia system – Part 3: Traffic sets and traffic profiles. This Recommendation endorses technical specification ETSI TS 186 025-3.</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31" w:history="1">
              <w:r w:rsidR="00A11163" w:rsidRPr="004567E2">
                <w:rPr>
                  <w:rStyle w:val="Hyperlink"/>
                  <w:rFonts w:ascii="Times New Roman" w:hAnsi="Times New Roman" w:cs="Times New Roman"/>
                  <w:sz w:val="24"/>
                  <w:szCs w:val="24"/>
                </w:rPr>
                <w:t xml:space="preserve">Recommendation ITU-T Q.3931.4 “Performance benchmark for the PSTN/ISDN emulation subsystem of an IP multimedia system - Part 4: Reference load network </w:t>
              </w:r>
              <w:r w:rsidR="00A11163" w:rsidRPr="004567E2">
                <w:rPr>
                  <w:rStyle w:val="Hyperlink"/>
                  <w:rFonts w:ascii="Times New Roman" w:hAnsi="Times New Roman" w:cs="Times New Roman"/>
                  <w:sz w:val="24"/>
                  <w:szCs w:val="24"/>
                </w:rPr>
                <w:lastRenderedPageBreak/>
                <w:t>quality parameters”</w:t>
              </w:r>
            </w:hyperlink>
            <w:r w:rsidR="00A11163" w:rsidRPr="004567E2">
              <w:rPr>
                <w:rFonts w:ascii="Times New Roman" w:hAnsi="Times New Roman" w:cs="Times New Roman"/>
                <w:sz w:val="24"/>
                <w:szCs w:val="24"/>
              </w:rPr>
              <w:t xml:space="preserve"> illustrates the reference load network quality parameters applicable to the PSTN/ISDN emulation subsystem of IP multimedia system exchange implementations.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32" w:history="1">
              <w:r w:rsidR="00A11163" w:rsidRPr="004567E2">
                <w:rPr>
                  <w:rStyle w:val="Hyperlink"/>
                  <w:rFonts w:ascii="Times New Roman" w:hAnsi="Times New Roman" w:cs="Times New Roman"/>
                  <w:sz w:val="24"/>
                  <w:szCs w:val="24"/>
                </w:rPr>
                <w:t>Recommendation ITU-T Q.3932.1 “IMS/NGN performance benchmark – Part 1: Core concept”</w:t>
              </w:r>
            </w:hyperlink>
            <w:r w:rsidR="00A11163" w:rsidRPr="004567E2">
              <w:rPr>
                <w:rFonts w:ascii="Times New Roman" w:hAnsi="Times New Roman" w:cs="Times New Roman"/>
                <w:sz w:val="24"/>
                <w:szCs w:val="24"/>
              </w:rPr>
              <w:t xml:space="preserve"> provides the first part of a multi-part deliverable covering the IP multimedia subsystem (IMS)/next generation networks (NGN) performance benchmark. This Recommendation describes the performance benchmark methodology for the IMS based services multimedia telephony (MMTel), video telephony and IMS/PES. The terminology and concepts are described in Recommendation ITU-T Q.3930.</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233" w:history="1">
              <w:r w:rsidR="00A11163" w:rsidRPr="004567E2">
                <w:rPr>
                  <w:rStyle w:val="Hyperlink"/>
                  <w:rFonts w:ascii="Times New Roman" w:hAnsi="Times New Roman" w:cs="Times New Roman"/>
                  <w:sz w:val="24"/>
                  <w:szCs w:val="24"/>
                </w:rPr>
                <w:t>Recommendation ITU-T Q.3932.2 “IMS/NGN performance benchmark – Part 2: Subsystem configurations and benchmarks”</w:t>
              </w:r>
            </w:hyperlink>
            <w:r w:rsidR="00A11163" w:rsidRPr="004567E2">
              <w:rPr>
                <w:rFonts w:ascii="Times New Roman" w:hAnsi="Times New Roman" w:cs="Times New Roman"/>
                <w:sz w:val="24"/>
                <w:szCs w:val="24"/>
              </w:rPr>
              <w:t xml:space="preserve"> provides the second part of a multi-part deliverable covering the IP multimedia subsystem (IMS)/next generation networks (NGN) performance benchmark. This Recommendation contains the specific benchmarking use cases and scenarios, along with scenario-specific metrics and design objectives (DOs). It also defines the system under test (SUT) configuration parameters. The present document also contains any required extensions to the overall descriptions present in the present document, if necessary for the specific scenario.</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34" w:history="1">
              <w:r w:rsidR="00A11163" w:rsidRPr="004567E2">
                <w:rPr>
                  <w:rStyle w:val="Hyperlink"/>
                  <w:rFonts w:ascii="Times New Roman" w:hAnsi="Times New Roman" w:cs="Times New Roman"/>
                  <w:sz w:val="24"/>
                  <w:szCs w:val="24"/>
                </w:rPr>
                <w:t>Recommendation ITU-T Q.3932.3 “IMS/NGN performance benchmark – Part 3: Traffic sets and traffic profiles”</w:t>
              </w:r>
            </w:hyperlink>
            <w:r w:rsidR="00A11163" w:rsidRPr="004567E2">
              <w:rPr>
                <w:rFonts w:ascii="Times New Roman" w:hAnsi="Times New Roman" w:cs="Times New Roman"/>
                <w:sz w:val="24"/>
                <w:szCs w:val="24"/>
              </w:rPr>
              <w:t xml:space="preserve"> provides the third part of a multi-part deliverable covering the IMS/NGN performance benchmark. The metrics measured and reported are for the performance of this subsystem under a communications application load.</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The benchmark is defined for the IMS network as a whole, as well as for several subsystems of an IMS network. The benchmark is designed so that nodes composing a subsystem can also be benchmarked alone.</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The initial benchmark test data defined in the present document include:</w:t>
            </w:r>
          </w:p>
          <w:p w:rsidR="00A11163" w:rsidRPr="004567E2" w:rsidRDefault="00A11163" w:rsidP="00A11163">
            <w:pPr>
              <w:pStyle w:val="ListParagraph"/>
              <w:numPr>
                <w:ilvl w:val="1"/>
                <w:numId w:val="2"/>
              </w:numPr>
              <w:contextualSpacing w:val="0"/>
              <w:rPr>
                <w:rFonts w:ascii="Times New Roman" w:hAnsi="Times New Roman" w:cs="Times New Roman"/>
                <w:sz w:val="24"/>
                <w:szCs w:val="24"/>
              </w:rPr>
            </w:pPr>
            <w:r w:rsidRPr="004567E2">
              <w:rPr>
                <w:rFonts w:ascii="Times New Roman" w:hAnsi="Times New Roman" w:cs="Times New Roman"/>
                <w:sz w:val="24"/>
                <w:szCs w:val="24"/>
              </w:rPr>
              <w:t>traffic set;</w:t>
            </w:r>
          </w:p>
          <w:p w:rsidR="00A11163" w:rsidRPr="004567E2" w:rsidRDefault="00A11163" w:rsidP="00A11163">
            <w:pPr>
              <w:pStyle w:val="ListParagraph"/>
              <w:numPr>
                <w:ilvl w:val="1"/>
                <w:numId w:val="2"/>
              </w:numPr>
              <w:contextualSpacing w:val="0"/>
              <w:rPr>
                <w:rFonts w:ascii="Times New Roman" w:hAnsi="Times New Roman" w:cs="Times New Roman"/>
                <w:sz w:val="24"/>
                <w:szCs w:val="24"/>
              </w:rPr>
            </w:pPr>
            <w:r w:rsidRPr="004567E2">
              <w:rPr>
                <w:rFonts w:ascii="Times New Roman" w:hAnsi="Times New Roman" w:cs="Times New Roman"/>
                <w:sz w:val="24"/>
                <w:szCs w:val="24"/>
              </w:rPr>
              <w:lastRenderedPageBreak/>
              <w:t>traffic-time profile;</w:t>
            </w:r>
          </w:p>
          <w:p w:rsidR="00A11163" w:rsidRPr="004567E2" w:rsidRDefault="00A11163" w:rsidP="00A11163">
            <w:pPr>
              <w:pStyle w:val="ListParagraph"/>
              <w:numPr>
                <w:ilvl w:val="1"/>
                <w:numId w:val="2"/>
              </w:numPr>
              <w:contextualSpacing w:val="0"/>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benchmark test procedure.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35" w:history="1">
              <w:r w:rsidR="00A11163" w:rsidRPr="004567E2">
                <w:rPr>
                  <w:rStyle w:val="Hyperlink"/>
                  <w:rFonts w:ascii="Times New Roman" w:hAnsi="Times New Roman" w:cs="Times New Roman"/>
                  <w:sz w:val="24"/>
                  <w:szCs w:val="24"/>
                </w:rPr>
                <w:t>Recommendation ITU-T Q.3932.4 “IMS/NGN performance benchmark - Part 4: Testing of the performance design objectives”</w:t>
              </w:r>
            </w:hyperlink>
            <w:r w:rsidR="00A11163" w:rsidRPr="004567E2">
              <w:rPr>
                <w:rFonts w:ascii="Times New Roman" w:hAnsi="Times New Roman" w:cs="Times New Roman"/>
                <w:sz w:val="24"/>
                <w:szCs w:val="24"/>
              </w:rPr>
              <w:t xml:space="preserve"> contains the benchmark testing of signalling parameters against the performance design objectives, specified in ITU-T Q.543 and ETSI TS 101 563, which are applicable to IMS/PES/NGN and VoLTE implementations.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36" w:history="1">
              <w:r w:rsidR="00A11163" w:rsidRPr="004567E2">
                <w:rPr>
                  <w:rStyle w:val="Hyperlink"/>
                  <w:rFonts w:ascii="Times New Roman" w:hAnsi="Times New Roman" w:cs="Times New Roman"/>
                  <w:sz w:val="24"/>
                  <w:szCs w:val="24"/>
                </w:rPr>
                <w:t>Recommendation ITU-T Q.3933 “Reference benchmarking, background traffic profiles and KPIs for VoIP and FoIP in fixed networks”</w:t>
              </w:r>
            </w:hyperlink>
            <w:r w:rsidR="00A11163" w:rsidRPr="004567E2">
              <w:rPr>
                <w:rFonts w:ascii="Times New Roman" w:hAnsi="Times New Roman" w:cs="Times New Roman"/>
                <w:sz w:val="24"/>
                <w:szCs w:val="24"/>
              </w:rPr>
              <w:t xml:space="preserve"> describes key performance indicators (KPIs) for voice over IP (VoIP) and fax over IP (FoIP) as well as framework requirements for reference benchmarking particularly with regard to background traffic.</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37" w:history="1">
              <w:r w:rsidR="00A11163" w:rsidRPr="004567E2">
                <w:rPr>
                  <w:rStyle w:val="Hyperlink"/>
                  <w:rFonts w:ascii="Times New Roman" w:hAnsi="Times New Roman" w:cs="Times New Roman"/>
                  <w:sz w:val="24"/>
                  <w:szCs w:val="24"/>
                </w:rPr>
                <w:t>Recommendation ITU-T Q.3940 “NGN/IMS interconnection tests between network operators at the IMS 'Ic' interface and NGN NNI/SIP-I”</w:t>
              </w:r>
            </w:hyperlink>
            <w:r w:rsidR="00A11163" w:rsidRPr="004567E2">
              <w:rPr>
                <w:rFonts w:ascii="Times New Roman" w:hAnsi="Times New Roman" w:cs="Times New Roman"/>
                <w:sz w:val="24"/>
                <w:szCs w:val="24"/>
              </w:rPr>
              <w:t xml:space="preserve"> describes a series of tests that could be performed as part of the interconnection process before live traffic is present.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238" w:history="1">
              <w:r w:rsidR="00A11163" w:rsidRPr="004567E2">
                <w:rPr>
                  <w:rStyle w:val="Hyperlink"/>
                  <w:rFonts w:ascii="Times New Roman" w:hAnsi="Times New Roman" w:cs="Times New Roman"/>
                  <w:sz w:val="24"/>
                  <w:szCs w:val="24"/>
                </w:rPr>
                <w:t>Recommendation ITU-T Q.4060 "The structure of the testing of heterogeneous Internet of Things gateways in a laboratory environment"</w:t>
              </w:r>
            </w:hyperlink>
            <w:r w:rsidR="00A11163" w:rsidRPr="004567E2">
              <w:rPr>
                <w:rStyle w:val="Hyperlink"/>
                <w:rFonts w:ascii="Times New Roman" w:hAnsi="Times New Roman" w:cs="Times New Roman"/>
                <w:color w:val="auto"/>
                <w:sz w:val="24"/>
                <w:szCs w:val="24"/>
                <w:u w:val="none"/>
              </w:rPr>
              <w:t xml:space="preserve"> describes the testing methodology of the heterogeneous network gateway which is to be used for communication among IoT devices. The tests will include the following, but not limited to:</w:t>
            </w:r>
          </w:p>
          <w:p w:rsidR="00A11163" w:rsidRPr="004567E2" w:rsidRDefault="00A11163" w:rsidP="00A11163">
            <w:pPr>
              <w:pStyle w:val="ListParagraph"/>
              <w:widowControl w:val="0"/>
              <w:numPr>
                <w:ilvl w:val="0"/>
                <w:numId w:val="10"/>
              </w:numPr>
              <w:contextualSpacing w:val="0"/>
              <w:rPr>
                <w:rStyle w:val="Hyperlink"/>
                <w:rFonts w:ascii="Times New Roman" w:eastAsiaTheme="minorEastAsia" w:hAnsi="Times New Roman" w:cs="Times New Roman"/>
                <w:color w:val="auto"/>
                <w:sz w:val="24"/>
                <w:szCs w:val="24"/>
                <w:u w:val="none"/>
                <w:lang w:val="en-GB" w:eastAsia="zh-CN"/>
              </w:rPr>
            </w:pPr>
            <w:r w:rsidRPr="004567E2">
              <w:rPr>
                <w:rStyle w:val="Hyperlink"/>
                <w:rFonts w:ascii="Times New Roman" w:eastAsiaTheme="minorEastAsia" w:hAnsi="Times New Roman" w:cs="Times New Roman"/>
                <w:color w:val="auto"/>
                <w:sz w:val="24"/>
                <w:szCs w:val="24"/>
                <w:u w:val="none"/>
                <w:lang w:val="en-GB" w:eastAsia="zh-CN"/>
              </w:rPr>
              <w:t>Check the gateway to stress load (benchmarking)</w:t>
            </w:r>
          </w:p>
          <w:p w:rsidR="00A11163" w:rsidRPr="004567E2" w:rsidRDefault="00A11163" w:rsidP="00A11163">
            <w:pPr>
              <w:pStyle w:val="ListParagraph"/>
              <w:widowControl w:val="0"/>
              <w:numPr>
                <w:ilvl w:val="0"/>
                <w:numId w:val="10"/>
              </w:numPr>
              <w:contextualSpacing w:val="0"/>
              <w:rPr>
                <w:rStyle w:val="Hyperlink"/>
                <w:rFonts w:ascii="Times New Roman" w:eastAsiaTheme="minorEastAsia" w:hAnsi="Times New Roman" w:cs="Times New Roman"/>
                <w:color w:val="auto"/>
                <w:sz w:val="24"/>
                <w:szCs w:val="24"/>
                <w:u w:val="none"/>
                <w:lang w:val="en-GB" w:eastAsia="zh-CN"/>
              </w:rPr>
            </w:pPr>
            <w:r w:rsidRPr="004567E2">
              <w:rPr>
                <w:rStyle w:val="Hyperlink"/>
                <w:rFonts w:ascii="Times New Roman" w:eastAsiaTheme="minorEastAsia" w:hAnsi="Times New Roman" w:cs="Times New Roman"/>
                <w:color w:val="auto"/>
                <w:sz w:val="24"/>
                <w:szCs w:val="24"/>
                <w:u w:val="none"/>
                <w:lang w:val="en-GB" w:eastAsia="zh-CN"/>
              </w:rPr>
              <w:t>Check the gateway to the possibility of transmission of various types and sizes of frames and (or) packages.</w:t>
            </w:r>
          </w:p>
          <w:p w:rsidR="00A11163" w:rsidRPr="004567E2" w:rsidRDefault="00A11163" w:rsidP="00A11163">
            <w:pPr>
              <w:pStyle w:val="ListParagraph"/>
              <w:widowControl w:val="0"/>
              <w:numPr>
                <w:ilvl w:val="0"/>
                <w:numId w:val="10"/>
              </w:numPr>
              <w:contextualSpacing w:val="0"/>
              <w:rPr>
                <w:rStyle w:val="Hyperlink"/>
                <w:rFonts w:ascii="Times New Roman" w:eastAsiaTheme="minorEastAsia" w:hAnsi="Times New Roman" w:cs="Times New Roman"/>
                <w:color w:val="auto"/>
                <w:sz w:val="24"/>
                <w:szCs w:val="24"/>
                <w:u w:val="none"/>
                <w:lang w:val="en-GB" w:eastAsia="zh-CN"/>
              </w:rPr>
            </w:pPr>
            <w:r w:rsidRPr="004567E2">
              <w:rPr>
                <w:rStyle w:val="Hyperlink"/>
                <w:rFonts w:ascii="Times New Roman" w:eastAsiaTheme="minorEastAsia" w:hAnsi="Times New Roman" w:cs="Times New Roman"/>
                <w:color w:val="auto"/>
                <w:sz w:val="24"/>
                <w:szCs w:val="24"/>
                <w:u w:val="none"/>
                <w:lang w:val="en-GB" w:eastAsia="zh-CN"/>
              </w:rPr>
              <w:t>Verification of the joint conversions from different protocols and multiple interfaces</w:t>
            </w:r>
          </w:p>
          <w:p w:rsidR="00A11163" w:rsidRPr="004567E2" w:rsidRDefault="00A11163" w:rsidP="00A11163">
            <w:pPr>
              <w:pStyle w:val="ListParagraph"/>
              <w:widowControl w:val="0"/>
              <w:numPr>
                <w:ilvl w:val="0"/>
                <w:numId w:val="10"/>
              </w:numPr>
              <w:contextualSpacing w:val="0"/>
              <w:rPr>
                <w:rStyle w:val="Hyperlink"/>
                <w:rFonts w:ascii="Times New Roman" w:eastAsiaTheme="minorEastAsia" w:hAnsi="Times New Roman" w:cs="Times New Roman"/>
                <w:color w:val="auto"/>
                <w:sz w:val="24"/>
                <w:szCs w:val="24"/>
                <w:u w:val="none"/>
                <w:lang w:val="en-GB" w:eastAsia="zh-CN"/>
              </w:rPr>
            </w:pPr>
            <w:r w:rsidRPr="004567E2">
              <w:rPr>
                <w:rStyle w:val="Hyperlink"/>
                <w:rFonts w:ascii="Times New Roman" w:eastAsiaTheme="minorEastAsia" w:hAnsi="Times New Roman" w:cs="Times New Roman"/>
                <w:color w:val="auto"/>
                <w:sz w:val="24"/>
                <w:szCs w:val="24"/>
                <w:u w:val="none"/>
                <w:lang w:val="en-GB" w:eastAsia="zh-CN"/>
              </w:rPr>
              <w:t>Check the gateway operation settings (CPU, RAM, etc.).</w:t>
            </w:r>
          </w:p>
          <w:p w:rsidR="00A11163" w:rsidRPr="004567E2" w:rsidRDefault="00A11163" w:rsidP="00A11163">
            <w:pPr>
              <w:pStyle w:val="ListParagraph"/>
              <w:widowControl w:val="0"/>
              <w:numPr>
                <w:ilvl w:val="0"/>
                <w:numId w:val="10"/>
              </w:numPr>
              <w:contextualSpacing w:val="0"/>
              <w:rPr>
                <w:rStyle w:val="Hyperlink"/>
                <w:rFonts w:ascii="Times New Roman" w:eastAsiaTheme="minorEastAsia" w:hAnsi="Times New Roman" w:cs="Times New Roman"/>
                <w:color w:val="auto"/>
                <w:sz w:val="24"/>
                <w:szCs w:val="24"/>
                <w:u w:val="none"/>
                <w:lang w:val="en-GB" w:eastAsia="zh-CN"/>
              </w:rPr>
            </w:pPr>
            <w:r w:rsidRPr="004567E2">
              <w:rPr>
                <w:rStyle w:val="Hyperlink"/>
                <w:rFonts w:ascii="Times New Roman" w:eastAsiaTheme="minorEastAsia" w:hAnsi="Times New Roman" w:cs="Times New Roman"/>
                <w:color w:val="auto"/>
                <w:sz w:val="24"/>
                <w:szCs w:val="24"/>
                <w:u w:val="none"/>
                <w:lang w:val="en-GB" w:eastAsia="zh-CN"/>
              </w:rPr>
              <w:t>Check the network parameters (delay, data loss, etc.).</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39" w:history="1">
              <w:r w:rsidR="00A11163" w:rsidRPr="004567E2">
                <w:rPr>
                  <w:rStyle w:val="Hyperlink"/>
                  <w:rFonts w:ascii="Times New Roman" w:hAnsi="Times New Roman" w:cs="Times New Roman"/>
                  <w:sz w:val="24"/>
                  <w:szCs w:val="24"/>
                </w:rPr>
                <w:t>Recommendation ITU-T Q.3952 “The architecture and facilities of Model network for IoT testing”</w:t>
              </w:r>
            </w:hyperlink>
            <w:r w:rsidR="00A11163" w:rsidRPr="004567E2">
              <w:rPr>
                <w:rFonts w:ascii="Times New Roman" w:hAnsi="Times New Roman" w:cs="Times New Roman"/>
                <w:sz w:val="24"/>
                <w:szCs w:val="24"/>
              </w:rPr>
              <w:t xml:space="preserve"> describes the architecture and facilities of Model Network for IoT testing.</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40" w:history="1">
              <w:r w:rsidR="00A11163" w:rsidRPr="004567E2">
                <w:rPr>
                  <w:rStyle w:val="Hyperlink"/>
                  <w:rFonts w:ascii="Times New Roman" w:hAnsi="Times New Roman" w:cs="Times New Roman"/>
                  <w:sz w:val="24"/>
                  <w:szCs w:val="24"/>
                </w:rPr>
                <w:t>Recommendation ITU-T Q.3953 “VoLTE/ViLTE interconnection testing for interworking and roaming scenarios”</w:t>
              </w:r>
            </w:hyperlink>
            <w:r w:rsidR="00A11163" w:rsidRPr="004567E2">
              <w:rPr>
                <w:rFonts w:ascii="Times New Roman" w:hAnsi="Times New Roman" w:cs="Times New Roman"/>
                <w:sz w:val="24"/>
                <w:szCs w:val="24"/>
              </w:rPr>
              <w:t xml:space="preserve"> aims to verify the various interconnections and ensure that interoperability, interworking and roaming will respect national and international requirements and the SLA agreed between operators.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Style w:val="ms-rtefontsize-1"/>
                <w:rFonts w:ascii="Times New Roman" w:hAnsi="Times New Roman" w:cs="Times New Roman"/>
                <w:sz w:val="24"/>
                <w:szCs w:val="24"/>
              </w:rPr>
            </w:pPr>
            <w:hyperlink r:id="rId241" w:history="1">
              <w:r w:rsidR="00A11163" w:rsidRPr="004567E2">
                <w:rPr>
                  <w:rStyle w:val="Hyperlink"/>
                  <w:rFonts w:ascii="Times New Roman" w:hAnsi="Times New Roman" w:cs="Times New Roman"/>
                  <w:sz w:val="24"/>
                  <w:szCs w:val="24"/>
                </w:rPr>
                <w:t>Recommendation ITU-T Q.3960 “Framework of Internet related performance measurements”</w:t>
              </w:r>
            </w:hyperlink>
            <w:r w:rsidR="00A11163" w:rsidRPr="004567E2">
              <w:rPr>
                <w:rStyle w:val="ms-rtefontsize-1"/>
                <w:rFonts w:ascii="Times New Roman" w:hAnsi="Times New Roman" w:cs="Times New Roman"/>
                <w:sz w:val="24"/>
                <w:szCs w:val="24"/>
              </w:rPr>
              <w:t xml:space="preserve"> describes a framework for Internet related performance measurements which can be established at the national or international level, providing customers of the existing public telecom networks the possibility to estimate the access related performance.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42" w:history="1">
              <w:r w:rsidR="00A11163" w:rsidRPr="004567E2">
                <w:rPr>
                  <w:rStyle w:val="Hyperlink"/>
                  <w:rFonts w:ascii="Times New Roman" w:hAnsi="Times New Roman" w:cs="Times New Roman"/>
                  <w:sz w:val="24"/>
                  <w:szCs w:val="24"/>
                </w:rPr>
                <w:t>Recommendation ITU-T Q.4016 “Testing specification of call establishment procedures based on SIP/SDP and ITU-T H.248 for a real-time fax over IP service”</w:t>
              </w:r>
            </w:hyperlink>
            <w:r w:rsidR="00A11163" w:rsidRPr="004567E2">
              <w:rPr>
                <w:rFonts w:ascii="Times New Roman" w:hAnsi="Times New Roman" w:cs="Times New Roman"/>
                <w:sz w:val="24"/>
                <w:szCs w:val="24"/>
              </w:rPr>
              <w:t xml:space="preserve"> contains the testing specification of call establishment procedures based on session initiation protocol (SIP)/session description protocol (SDP) and ITU-T H.248 for a real-time fax over IP service. The listed test requirements in this Recommendation have to be interpreted as "minimal requirements" for fax support between SIP-enabled devices for real-time fax over IP.</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43" w:history="1">
              <w:r w:rsidR="00A11163" w:rsidRPr="004567E2">
                <w:rPr>
                  <w:rStyle w:val="Hyperlink"/>
                  <w:rFonts w:ascii="Times New Roman" w:hAnsi="Times New Roman" w:cs="Times New Roman"/>
                  <w:sz w:val="24"/>
                  <w:szCs w:val="24"/>
                </w:rPr>
                <w:t>Recommendation ITU-T Q.4041.1 “Cloud computing infrastructure capabilities interoperability testing – part 1: Interoperability testing between CSC and CSP”</w:t>
              </w:r>
            </w:hyperlink>
            <w:r w:rsidR="00A11163" w:rsidRPr="004567E2">
              <w:rPr>
                <w:rFonts w:ascii="Times New Roman" w:hAnsi="Times New Roman" w:cs="Times New Roman"/>
                <w:sz w:val="24"/>
                <w:szCs w:val="24"/>
              </w:rPr>
              <w:t xml:space="preserve"> specifies the cloud computing infrastructure capabilities type interoperability testing between CSC and CSP, including interoperability testing of computing service, storage service, network service and related management functions based on the functional requirements specified in [ITU-T Y.3513]. The test cases of cloud computing infrastructure capabilities type interoperability testing between CSC and CSP have also been introduced.</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A11163" w:rsidP="00A11163">
            <w:pPr>
              <w:widowControl w:val="0"/>
              <w:rPr>
                <w:rStyle w:val="Hyperlink"/>
                <w:rFonts w:ascii="Times New Roman" w:hAnsi="Times New Roman" w:cs="Times New Roman"/>
                <w:sz w:val="24"/>
                <w:szCs w:val="24"/>
              </w:rPr>
            </w:pPr>
            <w:r w:rsidRPr="004567E2">
              <w:rPr>
                <w:rStyle w:val="Hyperlink"/>
                <w:rFonts w:ascii="Times New Roman" w:hAnsi="Times New Roman" w:cs="Times New Roman"/>
                <w:sz w:val="24"/>
                <w:szCs w:val="24"/>
              </w:rPr>
              <w:t xml:space="preserve">Recommendation ITU-T Q.4042.1 “Cloud interoperability testing about web application - part 1: Interoperability testing between CSC and CSP” </w:t>
            </w:r>
            <w:r w:rsidRPr="004567E2">
              <w:rPr>
                <w:rFonts w:ascii="Times New Roman" w:hAnsi="Times New Roman" w:cs="Times New Roman"/>
                <w:sz w:val="24"/>
                <w:szCs w:val="24"/>
              </w:rPr>
              <w:t xml:space="preserve">(under </w:t>
            </w:r>
            <w:r w:rsidRPr="004567E2">
              <w:rPr>
                <w:rFonts w:ascii="Times New Roman" w:hAnsi="Times New Roman" w:cs="Times New Roman"/>
                <w:sz w:val="24"/>
                <w:szCs w:val="24"/>
              </w:rPr>
              <w:lastRenderedPageBreak/>
              <w:t>approval) specifies the cloud interoperability testing items about web application between CSC and CSP as part 1. These testing objects are developed on the basis of cloud computing interoperability testing objectives specified in [ITU-T Q.4040]. The test cases for cloud interoperability testing about web application have also been introduced as appendix.</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244" w:history="1">
              <w:r w:rsidR="00A11163" w:rsidRPr="004567E2">
                <w:rPr>
                  <w:rStyle w:val="Hyperlink"/>
                  <w:rFonts w:ascii="Times New Roman" w:hAnsi="Times New Roman" w:cs="Times New Roman"/>
                  <w:sz w:val="24"/>
                  <w:szCs w:val="24"/>
                </w:rPr>
                <w:t>Recommendation ITU-T Q.5001 “Signalling requirements and architecture of intelligent edge computing”</w:t>
              </w:r>
            </w:hyperlink>
            <w:r w:rsidR="00A11163" w:rsidRPr="004567E2">
              <w:rPr>
                <w:rStyle w:val="Hyperlink"/>
                <w:rFonts w:ascii="Times New Roman" w:hAnsi="Times New Roman" w:cs="Times New Roman"/>
                <w:color w:val="auto"/>
                <w:sz w:val="24"/>
                <w:szCs w:val="24"/>
                <w:u w:val="none"/>
              </w:rPr>
              <w:t xml:space="preserve"> defines the intelligent edge computing. It is applicable to collect, store, and process data reliably in the intelligent edge computing, especially to support mission critical services. Thus, the main functionality of intelligent edge computing is collecting, processing, analysing the data and providing the values based on intelligent data processing. This Recommendation specifies use cases, signalling requirements and an architecture of intelligent edge computing.</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A11163" w:rsidP="00A11163">
            <w:pPr>
              <w:rPr>
                <w:rFonts w:ascii="Times New Roman" w:hAnsi="Times New Roman" w:cs="Times New Roman"/>
                <w:bCs/>
                <w:color w:val="000000"/>
                <w:sz w:val="24"/>
                <w:szCs w:val="24"/>
              </w:rPr>
            </w:pPr>
            <w:r w:rsidRPr="004567E2">
              <w:rPr>
                <w:rStyle w:val="Hyperlink"/>
                <w:rFonts w:ascii="Times New Roman" w:hAnsi="Times New Roman" w:cs="Times New Roman"/>
                <w:color w:val="auto"/>
                <w:sz w:val="24"/>
                <w:szCs w:val="24"/>
                <w:u w:val="none"/>
              </w:rPr>
              <w:t>Recommendation ITU-T Q.5050 “Framework for solution to combat counterfeit ICT devices” (under approval) aims to describe a reference framework, with high level challenges and requirements, that should be considered when deploying solutions to combat the circulation and use of counterfeit ICT devices.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45" w:history="1">
              <w:r w:rsidR="00A11163" w:rsidRPr="004567E2">
                <w:rPr>
                  <w:rStyle w:val="Hyperlink"/>
                  <w:rFonts w:ascii="Times New Roman" w:hAnsi="Times New Roman" w:cs="Times New Roman"/>
                  <w:sz w:val="24"/>
                  <w:szCs w:val="24"/>
                </w:rPr>
                <w:t>Recommendation ITU-T X.609.3 “Managed P2P communications: Multimedia streaming signalling requirements”</w:t>
              </w:r>
            </w:hyperlink>
            <w:r w:rsidR="00A11163" w:rsidRPr="004567E2">
              <w:rPr>
                <w:rFonts w:ascii="Times New Roman" w:hAnsi="Times New Roman" w:cs="Times New Roman"/>
                <w:sz w:val="24"/>
                <w:szCs w:val="24"/>
              </w:rPr>
              <w:t xml:space="preserve"> specifies signalling requirements for distributed multimedia streaming over managed P2P architecture. This Recommendation lists up requirements on all reference points that are defined in Recommendation ITU-T X.609 for providing multimedia streaming services. This Recommendation also describes high-level procedures for multimedia streaming services over managed P2P architecture, and roles of managed P2P components.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46" w:history="1">
              <w:r w:rsidR="00A11163" w:rsidRPr="004567E2">
                <w:rPr>
                  <w:rStyle w:val="Hyperlink"/>
                  <w:rFonts w:ascii="Times New Roman" w:hAnsi="Times New Roman" w:cs="Times New Roman"/>
                  <w:sz w:val="24"/>
                  <w:szCs w:val="24"/>
                </w:rPr>
                <w:t>Recommendation ITU-T X.609.4 “Managed P2P communications: Multimedia streaming peer protocol”</w:t>
              </w:r>
            </w:hyperlink>
            <w:r w:rsidR="00A11163" w:rsidRPr="004567E2">
              <w:rPr>
                <w:rFonts w:ascii="Times New Roman" w:hAnsi="Times New Roman" w:cs="Times New Roman"/>
                <w:sz w:val="24"/>
                <w:szCs w:val="24"/>
              </w:rPr>
              <w:t xml:space="preserve"> specifies peer protocol for distributed multimedia streaming services over managed P2P architecture that defined in ITU-T X.609. It satisfies the signaling requirements that specified in ITU-T X.609.3. This Recommendation also specifies protocol messages among peers, behaviors, and the </w:t>
            </w:r>
            <w:r w:rsidR="00A11163" w:rsidRPr="004567E2">
              <w:rPr>
                <w:rFonts w:ascii="Times New Roman" w:hAnsi="Times New Roman" w:cs="Times New Roman"/>
                <w:sz w:val="24"/>
                <w:szCs w:val="24"/>
              </w:rPr>
              <w:lastRenderedPageBreak/>
              <w:t>types of peer relationship.</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47" w:history="1">
              <w:r w:rsidR="00A11163" w:rsidRPr="004567E2">
                <w:rPr>
                  <w:rStyle w:val="Hyperlink"/>
                  <w:rFonts w:ascii="Times New Roman" w:hAnsi="Times New Roman" w:cs="Times New Roman"/>
                  <w:sz w:val="24"/>
                  <w:szCs w:val="24"/>
                </w:rPr>
                <w:t>Recommendation ITU-T X.609.5 “Managed P2P communications: Multimedia streaming overlay management protocol”</w:t>
              </w:r>
            </w:hyperlink>
            <w:r w:rsidR="00A11163" w:rsidRPr="004567E2">
              <w:rPr>
                <w:rFonts w:ascii="Times New Roman" w:hAnsi="Times New Roman" w:cs="Times New Roman"/>
                <w:sz w:val="24"/>
                <w:szCs w:val="24"/>
              </w:rPr>
              <w:t xml:space="preserve"> specifies the overlay network management protocol for multimedia streaming service over managed P2P communications. The purpose of multimedia streaming overlay management protocol (MSOMP) is to manage overlay network including establishment, modification, and termination. In addition, MSOMP also supports querying status of overlay network. MSOMP runs on the interface among entities of managed P2P communications. For managing overlay network, this Recommendation defines protocol operations and signalling messages for each operation.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A11163" w:rsidP="00A11163">
            <w:pPr>
              <w:widowControl w:val="0"/>
              <w:rPr>
                <w:rStyle w:val="Hyperlink"/>
                <w:rFonts w:ascii="Times New Roman" w:hAnsi="Times New Roman" w:cs="Times New Roman"/>
                <w:sz w:val="24"/>
                <w:szCs w:val="24"/>
              </w:rPr>
            </w:pPr>
            <w:r w:rsidRPr="004567E2">
              <w:rPr>
                <w:rStyle w:val="Hyperlink"/>
                <w:rFonts w:ascii="Times New Roman" w:hAnsi="Times New Roman" w:cs="Times New Roman"/>
                <w:sz w:val="24"/>
                <w:szCs w:val="24"/>
              </w:rPr>
              <w:t xml:space="preserve">Recommendation ITU-T X.609.6 “Managed P2P communications: Content distribution signalling requirements” </w:t>
            </w:r>
            <w:r w:rsidRPr="004567E2">
              <w:rPr>
                <w:rFonts w:ascii="Times New Roman" w:hAnsi="Times New Roman" w:cs="Times New Roman"/>
                <w:sz w:val="24"/>
                <w:szCs w:val="24"/>
              </w:rPr>
              <w:t>(under approval) specifies signalling requirements for content distribution service over managed P2P architecture. This Recommendation lists up requirements for the relevant reference points that are defined in Recommendation ITU-T X.609 for providing content distribution services.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A11163" w:rsidP="00A11163">
            <w:pPr>
              <w:widowControl w:val="0"/>
              <w:rPr>
                <w:rStyle w:val="Hyperlink"/>
                <w:rFonts w:ascii="Times New Roman" w:hAnsi="Times New Roman" w:cs="Times New Roman"/>
                <w:sz w:val="24"/>
                <w:szCs w:val="24"/>
              </w:rPr>
            </w:pPr>
            <w:r w:rsidRPr="004567E2">
              <w:rPr>
                <w:rStyle w:val="Hyperlink"/>
                <w:rFonts w:ascii="Times New Roman" w:hAnsi="Times New Roman" w:cs="Times New Roman"/>
                <w:sz w:val="24"/>
                <w:szCs w:val="24"/>
              </w:rPr>
              <w:t xml:space="preserve">Recommendation ITU-T X.609.7 “Managed P2P communications: Content distribution peer protocol” </w:t>
            </w:r>
            <w:r w:rsidRPr="004567E2">
              <w:rPr>
                <w:rFonts w:ascii="Times New Roman" w:hAnsi="Times New Roman" w:cs="Times New Roman"/>
                <w:sz w:val="24"/>
                <w:szCs w:val="24"/>
              </w:rPr>
              <w:t>(under approval) specifies a peer protocol for content distribution over managed P2P communications which satisfies the signaling requirements listed in ITU-T X.609.6. The Recommendation specifies protocol messages for negotiation and exchange of fragmented content among peers. The Recommendation also specifies behaviors of the peer according to the types of the peer.</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248" w:history="1">
              <w:r w:rsidR="00A11163" w:rsidRPr="004567E2">
                <w:rPr>
                  <w:rStyle w:val="Hyperlink"/>
                  <w:rFonts w:ascii="Times New Roman" w:hAnsi="Times New Roman" w:cs="Times New Roman"/>
                  <w:sz w:val="24"/>
                  <w:szCs w:val="24"/>
                </w:rPr>
                <w:t>Recommendation ITU-T E.802 Amd.2 “Framework and methodologies for the determination and application of QoS parameters: Amendment 2 - Updates and additional information on the degree of variability function in support of E.802”</w:t>
              </w:r>
            </w:hyperlink>
            <w:r w:rsidR="00A11163" w:rsidRPr="004567E2">
              <w:rPr>
                <w:rFonts w:ascii="Times New Roman" w:hAnsi="Times New Roman" w:cs="Times New Roman"/>
                <w:sz w:val="24"/>
                <w:szCs w:val="24"/>
              </w:rPr>
              <w:t xml:space="preserve"> adds analysis and information on the degree of variability function defined in Annex A.</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Fonts w:ascii="Times New Roman" w:hAnsi="Times New Roman" w:cs="Times New Roman"/>
                <w:bCs/>
                <w:sz w:val="24"/>
                <w:szCs w:val="24"/>
              </w:rPr>
            </w:pPr>
            <w:hyperlink r:id="rId249" w:history="1">
              <w:r w:rsidR="00A11163" w:rsidRPr="004567E2">
                <w:rPr>
                  <w:rStyle w:val="Hyperlink"/>
                  <w:rFonts w:ascii="Times New Roman" w:hAnsi="Times New Roman" w:cs="Times New Roman"/>
                  <w:sz w:val="24"/>
                  <w:szCs w:val="24"/>
                </w:rPr>
                <w:t>Recommendation ITU-T E.811 “Quality measurement in major events”</w:t>
              </w:r>
            </w:hyperlink>
            <w:r w:rsidR="00A11163" w:rsidRPr="004567E2">
              <w:rPr>
                <w:rFonts w:ascii="Times New Roman" w:hAnsi="Times New Roman" w:cs="Times New Roman"/>
                <w:sz w:val="24"/>
                <w:szCs w:val="24"/>
              </w:rPr>
              <w:t xml:space="preserve"> addresses </w:t>
            </w:r>
            <w:r w:rsidR="00A11163" w:rsidRPr="004567E2">
              <w:rPr>
                <w:rFonts w:ascii="Times New Roman" w:hAnsi="Times New Roman" w:cs="Times New Roman"/>
                <w:sz w:val="24"/>
                <w:szCs w:val="24"/>
              </w:rPr>
              <w:lastRenderedPageBreak/>
              <w:t>the quality assessment of mobile broadband and voice services provided during major events, such as FIFA World Cups and Olympic and Paralympic Games, by creating a useful international reference to be considered by operators and regulators when preparing to host such events.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50" w:history="1">
              <w:r w:rsidR="00A11163" w:rsidRPr="004567E2">
                <w:rPr>
                  <w:rStyle w:val="Hyperlink"/>
                  <w:rFonts w:ascii="Times New Roman" w:hAnsi="Times New Roman" w:cs="Times New Roman"/>
                  <w:sz w:val="24"/>
                  <w:szCs w:val="24"/>
                </w:rPr>
                <w:t>Recommendation ITU-T E.840 “Statistical framework for end to end network-performance benchmark scoring and ranking”</w:t>
              </w:r>
            </w:hyperlink>
            <w:r w:rsidR="00A11163" w:rsidRPr="004567E2">
              <w:rPr>
                <w:rFonts w:ascii="Times New Roman" w:hAnsi="Times New Roman" w:cs="Times New Roman"/>
                <w:sz w:val="24"/>
                <w:szCs w:val="24"/>
              </w:rPr>
              <w:t xml:space="preserve"> presents a framework for the statistical analysis underlying the performance benchmarking of networks and services. The framework describes benchmarking scenarios, use cases and procedures and statistical techniques for ranking end to end KPIs/KQIs. The recommendation refers to mobile services and benchmarking campaigns performed using mobile agents (devices) in drive and/or walk tests, as well as fixed agents, respectively devices placed at fixed locations (e.g., within shopping malls, office buildings, stadiums).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251" w:history="1">
              <w:r w:rsidR="00A11163" w:rsidRPr="004567E2">
                <w:rPr>
                  <w:rStyle w:val="Hyperlink"/>
                  <w:rFonts w:ascii="Times New Roman" w:hAnsi="Times New Roman" w:cs="Times New Roman"/>
                  <w:sz w:val="24"/>
                  <w:szCs w:val="24"/>
                </w:rPr>
                <w:t>Recommendation ITU-T E.847 “Quality of service norms for time-division multiplexing interconnection between telecom networks”</w:t>
              </w:r>
            </w:hyperlink>
            <w:r w:rsidR="00A11163" w:rsidRPr="004567E2">
              <w:rPr>
                <w:rStyle w:val="Hyperlink"/>
                <w:rFonts w:ascii="Times New Roman" w:hAnsi="Times New Roman" w:cs="Times New Roman"/>
                <w:color w:val="auto"/>
                <w:sz w:val="24"/>
                <w:szCs w:val="24"/>
                <w:u w:val="none"/>
              </w:rPr>
              <w:t xml:space="preserve"> analyses and identifies QoS parameters for TDM interconnection between telecom networks, which are needed to facilitate effective interconnections with reasonable traffic handling capacities. The proposals as given in this recommendation provide a guiding framework for TDM interconnection of telecom networks and will facilitate effective monitoring of Performance, QoS (Quality of Service) at POIs (Point of Interconnection); as well as endeavour to ensure end to end customer satisfaction and Quality of Experience (QoE). Regulators may also use this document to envision effective interconnection regulations in respective countries.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52" w:history="1">
              <w:r w:rsidR="00A11163" w:rsidRPr="004567E2">
                <w:rPr>
                  <w:rStyle w:val="Hyperlink"/>
                  <w:rFonts w:ascii="Times New Roman" w:hAnsi="Times New Roman" w:cs="Times New Roman"/>
                  <w:sz w:val="24"/>
                  <w:szCs w:val="24"/>
                </w:rPr>
                <w:t>Recommendation ITU-T G.1032 “Influence Factors on Gaming Quality of Experience”</w:t>
              </w:r>
            </w:hyperlink>
            <w:r w:rsidR="00A11163" w:rsidRPr="004567E2">
              <w:rPr>
                <w:rFonts w:ascii="Times New Roman" w:hAnsi="Times New Roman" w:cs="Times New Roman"/>
                <w:sz w:val="24"/>
                <w:szCs w:val="24"/>
              </w:rPr>
              <w:t xml:space="preserve"> presents a list of factors, which may influence the Quality of Experience of cloud gaming and online gaming. The factors are grouped into user, system, and context factors. They should be taken into account when planning and implementing online gaming services, and when evaluating their Quality of Experience with subjective methods or instrumental quality prediction models.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53" w:history="1">
              <w:r w:rsidR="00A11163" w:rsidRPr="004567E2">
                <w:rPr>
                  <w:rStyle w:val="Hyperlink"/>
                  <w:rFonts w:ascii="Times New Roman" w:hAnsi="Times New Roman" w:cs="Times New Roman"/>
                  <w:sz w:val="24"/>
                  <w:szCs w:val="24"/>
                </w:rPr>
                <w:t>Recommendation ITU-T G.1070 “Opinion model for video-telephony applications”</w:t>
              </w:r>
            </w:hyperlink>
            <w:r w:rsidR="00A11163" w:rsidRPr="004567E2">
              <w:rPr>
                <w:rFonts w:ascii="Times New Roman" w:hAnsi="Times New Roman" w:cs="Times New Roman"/>
                <w:sz w:val="24"/>
                <w:szCs w:val="24"/>
              </w:rPr>
              <w:t xml:space="preserve"> proposes an algorithm that estimates videophone quality for quality of experience (QoE)/quality of service (QoS) planners. This model can be used by QoE/QoS planners to help ensure that users will be satisfied with end-to-end service quality. The model provides estimates of multimedia quality that take interactivity into account and it allows planners to avoid under-engineering. The application of this Recommendation is limited to QoE/QoS planning. Other applications such as quality benchmarking and monitoring are outside the scope of this Recommendation.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54" w:history="1">
              <w:r w:rsidR="00A11163" w:rsidRPr="004567E2">
                <w:rPr>
                  <w:rStyle w:val="Hyperlink"/>
                  <w:rFonts w:ascii="Times New Roman" w:hAnsi="Times New Roman" w:cs="Times New Roman"/>
                  <w:sz w:val="24"/>
                  <w:szCs w:val="24"/>
                </w:rPr>
                <w:t>Recommendation ITU-T G.1071 “Opinion model for network planning of video and audio streaming applications”</w:t>
              </w:r>
            </w:hyperlink>
            <w:r w:rsidR="00A11163" w:rsidRPr="004567E2">
              <w:rPr>
                <w:rFonts w:ascii="Times New Roman" w:hAnsi="Times New Roman" w:cs="Times New Roman"/>
                <w:sz w:val="24"/>
                <w:szCs w:val="24"/>
              </w:rPr>
              <w:t xml:space="preserve"> provides algorithmic models for network planning of IP-based video services. This Recommendation addresses two application areas:</w:t>
            </w:r>
            <w:r w:rsidR="00A11163" w:rsidRPr="004567E2">
              <w:rPr>
                <w:rFonts w:ascii="Times New Roman" w:hAnsi="Times New Roman" w:cs="Times New Roman"/>
                <w:sz w:val="24"/>
                <w:szCs w:val="24"/>
              </w:rPr>
              <w:br/>
              <w:t>– the higher resolution (HR) application area, including services such as IPTV;</w:t>
            </w:r>
            <w:r w:rsidR="00A11163" w:rsidRPr="004567E2">
              <w:rPr>
                <w:rFonts w:ascii="Times New Roman" w:hAnsi="Times New Roman" w:cs="Times New Roman"/>
                <w:sz w:val="24"/>
                <w:szCs w:val="24"/>
              </w:rPr>
              <w:br/>
              <w:t>– the lower resolution (LR) application area, including services such as mobile TV.</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255" w:history="1">
              <w:r w:rsidR="00A11163" w:rsidRPr="004567E2">
                <w:rPr>
                  <w:rStyle w:val="Hyperlink"/>
                  <w:rFonts w:ascii="Times New Roman" w:hAnsi="Times New Roman" w:cs="Times New Roman"/>
                  <w:sz w:val="24"/>
                  <w:szCs w:val="24"/>
                </w:rPr>
                <w:t>ITU-T Supplement 61 to ITU-T G.1020 series of Recommendations “IP aware QoS management”</w:t>
              </w:r>
            </w:hyperlink>
            <w:r w:rsidR="00A11163" w:rsidRPr="004567E2">
              <w:rPr>
                <w:rFonts w:ascii="Times New Roman" w:hAnsi="Times New Roman" w:cs="Times New Roman"/>
                <w:sz w:val="24"/>
                <w:szCs w:val="24"/>
              </w:rPr>
              <w:t xml:space="preserve"> documents a packet oriented (IP-centric) QoS management model. This model is applicable to a wireless Access Point (e.g. WiFi AP, eNode B, Node B), referred to as "IP aware Access Point". In the supplement a possible cross-layer design for this model in LTE/EPC networks is described. Some implementation challenges are highlighted, together with possible solutions implying only minor modifications in the eNode B. Performance of this proposal compared to various implementations of the 3GPP QoS model is evaluated using the ns-3 simulator in realistic scenarios.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56" w:history="1">
              <w:r w:rsidR="00A11163" w:rsidRPr="004567E2">
                <w:rPr>
                  <w:rStyle w:val="Hyperlink"/>
                  <w:rFonts w:ascii="Times New Roman" w:hAnsi="Times New Roman" w:cs="Times New Roman"/>
                  <w:sz w:val="24"/>
                  <w:szCs w:val="24"/>
                </w:rPr>
                <w:t>Recommendation ITU-T J.343 Amd.1 “Hybrid perceptual bitstream models for objective video quality measurements: Amendment 1 - Test vectors for J.343 family of standards”</w:t>
              </w:r>
            </w:hyperlink>
            <w:r w:rsidR="00A11163" w:rsidRPr="004567E2">
              <w:rPr>
                <w:rFonts w:ascii="Times New Roman" w:hAnsi="Times New Roman" w:cs="Times New Roman"/>
                <w:sz w:val="24"/>
                <w:szCs w:val="24"/>
              </w:rPr>
              <w:t xml:space="preserve"> adds a new Appendix I containing information about test vectors for the ITU-T J.343 family of Recommendations.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57" w:history="1">
              <w:r w:rsidR="00A11163" w:rsidRPr="004567E2">
                <w:rPr>
                  <w:rStyle w:val="Hyperlink"/>
                  <w:rFonts w:ascii="Times New Roman" w:hAnsi="Times New Roman" w:cs="Times New Roman"/>
                  <w:sz w:val="24"/>
                  <w:szCs w:val="24"/>
                </w:rPr>
                <w:t xml:space="preserve">Recommendation ITU-T P.10/G.100 “Vocabulary for performance, quality of </w:t>
              </w:r>
              <w:r w:rsidR="00A11163" w:rsidRPr="004567E2">
                <w:rPr>
                  <w:rStyle w:val="Hyperlink"/>
                  <w:rFonts w:ascii="Times New Roman" w:hAnsi="Times New Roman" w:cs="Times New Roman"/>
                  <w:sz w:val="24"/>
                  <w:szCs w:val="24"/>
                </w:rPr>
                <w:lastRenderedPageBreak/>
                <w:t>service and quality of experience”</w:t>
              </w:r>
            </w:hyperlink>
            <w:r w:rsidR="00A11163" w:rsidRPr="004567E2">
              <w:rPr>
                <w:rFonts w:ascii="Times New Roman" w:hAnsi="Times New Roman" w:cs="Times New Roman"/>
                <w:sz w:val="24"/>
                <w:szCs w:val="24"/>
              </w:rPr>
              <w:t xml:space="preserve"> contains terms and definitions associated with network performance, quality of service and quality of experience.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258" w:history="1">
              <w:r w:rsidR="00A11163" w:rsidRPr="004567E2">
                <w:rPr>
                  <w:rStyle w:val="Hyperlink"/>
                  <w:rFonts w:ascii="Times New Roman" w:hAnsi="Times New Roman" w:cs="Times New Roman"/>
                  <w:sz w:val="24"/>
                  <w:szCs w:val="24"/>
                </w:rPr>
                <w:t>Recommendation ITU</w:t>
              </w:r>
              <w:r w:rsidR="00A11163" w:rsidRPr="004567E2">
                <w:rPr>
                  <w:rStyle w:val="Hyperlink"/>
                  <w:rFonts w:ascii="MS Mincho" w:eastAsia="MS Mincho" w:hAnsi="MS Mincho" w:cs="MS Mincho" w:hint="eastAsia"/>
                  <w:sz w:val="24"/>
                  <w:szCs w:val="24"/>
                </w:rPr>
                <w:t>‑</w:t>
              </w:r>
              <w:r w:rsidR="00A11163" w:rsidRPr="004567E2">
                <w:rPr>
                  <w:rStyle w:val="Hyperlink"/>
                  <w:rFonts w:ascii="Times New Roman" w:hAnsi="Times New Roman" w:cs="Times New Roman"/>
                  <w:sz w:val="24"/>
                  <w:szCs w:val="24"/>
                </w:rPr>
                <w:t>T P.381 “Technical requirements and test methods for the universal wired headset or headphone interface of digital mobile terminals”</w:t>
              </w:r>
            </w:hyperlink>
            <w:r w:rsidR="00A11163" w:rsidRPr="004567E2">
              <w:rPr>
                <w:rStyle w:val="Hyperlink"/>
                <w:rFonts w:ascii="Times New Roman" w:hAnsi="Times New Roman" w:cs="Times New Roman"/>
                <w:color w:val="auto"/>
                <w:sz w:val="24"/>
                <w:szCs w:val="24"/>
                <w:u w:val="none"/>
              </w:rPr>
              <w:t xml:space="preserve"> specifies critical physical and electrical-acoustical characteristics for the universal headset interface and provides corresponding test methods. Both 3.5 mm and 2.5 mm diameter headset/headphone interfaces have been widely used in digital mobile terminals in recent years. Nowadays, the consumer is free to choose either the headset/headphone originally provided by the terminal manufacturer or others that are offered separately. However, the quality of service (QoS)/quality of experience (QoE) perceived by users is influenced by both the electrical performance of the interface and the compatibility between the terminal and the connected headset/headphone.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259" w:history="1">
              <w:r w:rsidR="00A11163" w:rsidRPr="004567E2">
                <w:rPr>
                  <w:rStyle w:val="Hyperlink"/>
                  <w:rFonts w:ascii="Times New Roman" w:hAnsi="Times New Roman" w:cs="Times New Roman"/>
                  <w:sz w:val="24"/>
                  <w:szCs w:val="24"/>
                </w:rPr>
                <w:t>Recommendation ITU-T P.501 “Test signals for use in telephonometry”</w:t>
              </w:r>
            </w:hyperlink>
            <w:r w:rsidR="00A11163" w:rsidRPr="004567E2">
              <w:rPr>
                <w:rStyle w:val="Hyperlink"/>
                <w:rFonts w:ascii="Times New Roman" w:hAnsi="Times New Roman" w:cs="Times New Roman"/>
                <w:color w:val="auto"/>
                <w:sz w:val="24"/>
                <w:szCs w:val="24"/>
                <w:u w:val="none"/>
              </w:rPr>
              <w:t xml:space="preserve"> describes test signals which are applicable for several purposes in telephonometry. This Recommendation gives a wide variety of test signals starting with low complexity test signals up to test signals with a high degree of complexity incorporating a lot of typical parameters of speech. Besides technical signals such as sine waves or noise, more speech-like signals are described. This Recommendation describes the principles of the signal construction for each type of test signal. Characteristic properties such as power density spectra, probability density functions or shaping filter responses are shown.</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This Recommendation gives an overview about the typical application of the test signals described. This overview is a guideline giving general application rules. The detailed description of the application however should be found in the individual Recommendations describing the measurement procedures for a certain application.</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In order to avoid problems in creating the test signals described, all these test signals are freely available for download from the ITU-T test signals database.</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lastRenderedPageBreak/>
              <w:t>Annex A proposes two test signals (a pn-sequence with a low crest factor and a logarithmically distributed multi-sine wave) for the measurement of terminal coupling loss (TCL).</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Annex B provides speech files and noise sequences to be used in combination with objective speech quality evaluation methods. This speech material does not replace the speech material found in Supplement 23 to ITU-T P-series Recommendations.</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Appendix I provides a description of the processing applied to the speech signals in clause 7.3.</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60" w:history="1">
              <w:r w:rsidR="00A11163" w:rsidRPr="004567E2">
                <w:rPr>
                  <w:rStyle w:val="Hyperlink"/>
                  <w:rFonts w:ascii="Times New Roman" w:hAnsi="Times New Roman" w:cs="Times New Roman"/>
                  <w:sz w:val="24"/>
                  <w:szCs w:val="24"/>
                </w:rPr>
                <w:t>Recommendation ITU-T P.501 Amd.1 “Test signals for use in telephonometry – Amendment 1: Addition to P.501 – AM-FM test signal for super-wideband and fullband applications”</w:t>
              </w:r>
            </w:hyperlink>
            <w:r w:rsidR="00A11163" w:rsidRPr="004567E2">
              <w:rPr>
                <w:rFonts w:ascii="Times New Roman" w:hAnsi="Times New Roman" w:cs="Times New Roman"/>
                <w:sz w:val="24"/>
                <w:szCs w:val="24"/>
              </w:rPr>
              <w:t xml:space="preserve"> extends the applicability of the AM-FM test signal to super-wideband and fullband applications.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61" w:history="1">
              <w:r w:rsidR="00A11163" w:rsidRPr="004567E2">
                <w:rPr>
                  <w:rStyle w:val="Hyperlink"/>
                  <w:rFonts w:ascii="Times New Roman" w:hAnsi="Times New Roman" w:cs="Times New Roman"/>
                  <w:sz w:val="24"/>
                  <w:szCs w:val="24"/>
                </w:rPr>
                <w:t>Recommendation ITU-T P.570 “Artificial noise-fields in laboratory conditions”</w:t>
              </w:r>
            </w:hyperlink>
            <w:r w:rsidR="00A11163" w:rsidRPr="004567E2">
              <w:rPr>
                <w:rFonts w:ascii="Times New Roman" w:hAnsi="Times New Roman" w:cs="Times New Roman"/>
                <w:sz w:val="24"/>
                <w:szCs w:val="24"/>
              </w:rPr>
              <w:t xml:space="preserve"> specifies various artificial noise-field configurations which can be used in connection with objective as well as subjective evaluation of communication equipment. Furthermore, this Recommendation provides guidance on capturing real world noise environments and pre-processing of signals for reproduction of such environments. This Recommendation also describes calibration procedures and assessment methods for artificial noise-field configurations.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62" w:history="1">
              <w:r w:rsidR="00A11163" w:rsidRPr="004567E2">
                <w:rPr>
                  <w:rStyle w:val="Hyperlink"/>
                  <w:rFonts w:ascii="Times New Roman" w:hAnsi="Times New Roman" w:cs="Times New Roman"/>
                  <w:sz w:val="24"/>
                  <w:szCs w:val="24"/>
                </w:rPr>
                <w:t>Recommendation ITU-T P.804 “Subjective Diagnostic Test Method for Conversational Speech Quality Analysis”</w:t>
              </w:r>
            </w:hyperlink>
            <w:r w:rsidR="00A11163" w:rsidRPr="004567E2">
              <w:rPr>
                <w:rFonts w:ascii="Times New Roman" w:hAnsi="Times New Roman" w:cs="Times New Roman"/>
                <w:sz w:val="24"/>
                <w:szCs w:val="24"/>
              </w:rPr>
              <w:t xml:space="preserve"> describes a subjective methodology for assessing and diagnosing the quality of transmitted speech in a telephone conversation. In addition to a score for the overall conversation quality, the methodology yields overall quality scores for three perceivable phases in a telephone conversation (listening phase, speaking phase, and interaction phase) as well as scores for their corresponding seven perceptual dimensions. Four of the perceptual dimension scores represent degradation associated with the listening phase, two are associated with the speaking phase, and one is associated with the interaction phase. Each of the perceptual dimension scores are based on ratings of </w:t>
            </w:r>
            <w:r w:rsidR="00A11163" w:rsidRPr="004567E2">
              <w:rPr>
                <w:rFonts w:ascii="Times New Roman" w:hAnsi="Times New Roman" w:cs="Times New Roman"/>
                <w:sz w:val="24"/>
                <w:szCs w:val="24"/>
              </w:rPr>
              <w:lastRenderedPageBreak/>
              <w:t>the amount of degradation present in one system condition. The method is designed to be used with naïve subjects. The dimension scores can be used to provide diagnostic information on the causes of system degradations. The method is meant as a complement to standard conversation tests.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63" w:history="1">
              <w:r w:rsidR="00A11163" w:rsidRPr="004567E2">
                <w:rPr>
                  <w:rStyle w:val="Hyperlink"/>
                  <w:rFonts w:ascii="Times New Roman" w:hAnsi="Times New Roman" w:cs="Times New Roman"/>
                  <w:sz w:val="24"/>
                  <w:szCs w:val="24"/>
                </w:rPr>
                <w:t>Recommendation ITU-T P.808 “Subjective evaluation of speech quality with a crowdsourcing approach”</w:t>
              </w:r>
            </w:hyperlink>
            <w:r w:rsidR="00A11163" w:rsidRPr="004567E2">
              <w:rPr>
                <w:rFonts w:ascii="Times New Roman" w:hAnsi="Times New Roman" w:cs="Times New Roman"/>
                <w:sz w:val="24"/>
                <w:szCs w:val="24"/>
              </w:rPr>
              <w:t xml:space="preserve"> describes a crowdsourcing approach for conducting subjective evaluations of speech quality. In comparison to laboratory tests, tests using a crowdsourcing approach rely on participants which are connected via an online platform, and whose task is to evaluate speech quality in their own environment, using their own devices. The current Recommendation gives guidance on the test material, experimental design, and the procedure for conducting listening tests in the crowd. An Annex describes the details of ACR listening quality tests. The method is to be seen as complementary to laboratory-based evaluations which are described in [ITU-T P.800].</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64" w:history="1">
              <w:r w:rsidR="00A11163" w:rsidRPr="004567E2">
                <w:rPr>
                  <w:rStyle w:val="Hyperlink"/>
                  <w:rFonts w:ascii="Times New Roman" w:hAnsi="Times New Roman" w:cs="Times New Roman"/>
                  <w:sz w:val="24"/>
                  <w:szCs w:val="24"/>
                </w:rPr>
                <w:t>Recommendation ITU-T P.809 “Subjective Evaluation Methods for Gaming Quality”</w:t>
              </w:r>
            </w:hyperlink>
            <w:r w:rsidR="00A11163" w:rsidRPr="004567E2">
              <w:rPr>
                <w:rFonts w:ascii="Times New Roman" w:hAnsi="Times New Roman" w:cs="Times New Roman"/>
                <w:sz w:val="24"/>
                <w:szCs w:val="24"/>
              </w:rPr>
              <w:t xml:space="preserve"> presents guidelines for the conduction of subjective experiments for the Quality of Experience (QoE) assessment of gaming services. First, an overview about gaming QoE features covering hedonic and pragmatic quality as well as the player experience is given. Additionally, methods for two test paradigms, passive viewing-and-listening tests and interactive tests, are described including information about the test environment and test setup, participant instructions, selection of game materials and a list of available questionnaires for the assessment of several gaming QoE features such as flow and immersion.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65" w:history="1">
              <w:r w:rsidR="00A11163" w:rsidRPr="004567E2">
                <w:rPr>
                  <w:rStyle w:val="Hyperlink"/>
                  <w:rFonts w:ascii="Times New Roman" w:hAnsi="Times New Roman" w:cs="Times New Roman"/>
                  <w:sz w:val="24"/>
                  <w:szCs w:val="24"/>
                </w:rPr>
                <w:t>Recommendation ITU-T P.863 “Perceptual objective listening quality prediction”</w:t>
              </w:r>
            </w:hyperlink>
            <w:r w:rsidR="00A11163" w:rsidRPr="004567E2">
              <w:rPr>
                <w:rFonts w:ascii="Times New Roman" w:hAnsi="Times New Roman" w:cs="Times New Roman"/>
                <w:sz w:val="24"/>
                <w:szCs w:val="24"/>
              </w:rPr>
              <w:t xml:space="preserve"> describes an objective method for predicting overall listening speech quality from narrowband (NB) (300 to 3 400 Hz) to fullband (FB) (20 to 20 000 Hz) telecommunication scenarios as perceived by the user in an ITU-T P.800 or ITU-T P.830 absolute category rating (ACR) listening-only test. Recommendation ITU-T P.863 supports two operational modes, one for narrowband and one for fullband. </w:t>
            </w:r>
            <w:r w:rsidR="00A11163" w:rsidRPr="004567E2">
              <w:rPr>
                <w:rFonts w:ascii="Times New Roman" w:hAnsi="Times New Roman" w:cs="Times New Roman"/>
                <w:sz w:val="24"/>
                <w:szCs w:val="24"/>
              </w:rPr>
              <w:lastRenderedPageBreak/>
              <w:t>Super-wideband (50 to 14 000 Hz) experiments can be simulated by band limiting the reference and accordingly the degraded signal. This Recommendation presents a high-level description of the method, advice on how to use it. All essential parts of the model are described in detail, and are provided in separate pdf-files (see Annex B). These files form an integral part of this Recommendation and shall take precedence in case of conflicts between the high-level descriptions included in the main body of this Recommendation and the corresponding detailed description parts. A conformance testing procedure is also specified in Annex A to allow a user to validate that an alternative implementation of the model is correct. This Recommendation includes an electronic attachment containing detailed descriptions in pdf format (see Annex B) and conformance testing data (see Annex A).</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66" w:history="1">
              <w:r w:rsidR="00A11163" w:rsidRPr="004567E2">
                <w:rPr>
                  <w:rStyle w:val="Hyperlink"/>
                  <w:rFonts w:ascii="Times New Roman" w:hAnsi="Times New Roman" w:cs="Times New Roman"/>
                  <w:sz w:val="24"/>
                  <w:szCs w:val="24"/>
                </w:rPr>
                <w:t>ITU-T P.863 Implementers’ guide “Implementers' guide for P.863”</w:t>
              </w:r>
            </w:hyperlink>
            <w:r w:rsidR="00A11163" w:rsidRPr="004567E2">
              <w:rPr>
                <w:rFonts w:ascii="Times New Roman" w:hAnsi="Times New Roman" w:cs="Times New Roman"/>
                <w:sz w:val="24"/>
                <w:szCs w:val="24"/>
              </w:rPr>
              <w:t xml:space="preserve"> contains all updates submitted up to and including those at Study Group 12 meeting in May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267" w:history="1">
              <w:r w:rsidR="00A11163" w:rsidRPr="004567E2">
                <w:rPr>
                  <w:rStyle w:val="Hyperlink"/>
                  <w:rFonts w:ascii="Times New Roman" w:hAnsi="Times New Roman" w:cs="Times New Roman"/>
                  <w:sz w:val="24"/>
                  <w:szCs w:val="24"/>
                </w:rPr>
                <w:t>Recommendation ITU-T P.1110 “Wideband hands-free communication in motor vehicles”</w:t>
              </w:r>
            </w:hyperlink>
            <w:r w:rsidR="00A11163" w:rsidRPr="004567E2">
              <w:rPr>
                <w:rStyle w:val="Hyperlink"/>
                <w:rFonts w:ascii="Times New Roman" w:hAnsi="Times New Roman" w:cs="Times New Roman"/>
                <w:color w:val="auto"/>
                <w:sz w:val="24"/>
                <w:szCs w:val="24"/>
                <w:u w:val="none"/>
              </w:rPr>
              <w:t xml:space="preserve"> describes performance requirements and test methods for wideband hands</w:t>
            </w:r>
            <w:r w:rsidR="00A11163" w:rsidRPr="004567E2">
              <w:rPr>
                <w:rStyle w:val="Hyperlink"/>
                <w:rFonts w:ascii="MS Mincho" w:eastAsia="MS Mincho" w:hAnsi="MS Mincho" w:cs="MS Mincho" w:hint="eastAsia"/>
                <w:color w:val="auto"/>
                <w:sz w:val="24"/>
                <w:szCs w:val="24"/>
                <w:u w:val="none"/>
              </w:rPr>
              <w:t>‑</w:t>
            </w:r>
            <w:r w:rsidR="00A11163" w:rsidRPr="004567E2">
              <w:rPr>
                <w:rStyle w:val="Hyperlink"/>
                <w:rFonts w:ascii="Times New Roman" w:hAnsi="Times New Roman" w:cs="Times New Roman"/>
                <w:color w:val="auto"/>
                <w:sz w:val="24"/>
                <w:szCs w:val="24"/>
                <w:u w:val="none"/>
              </w:rPr>
              <w:t>free communication in motor vehicles. This Recommendation covers:</w:t>
            </w:r>
          </w:p>
          <w:p w:rsidR="00A11163" w:rsidRPr="004567E2" w:rsidRDefault="00A11163" w:rsidP="00A11163">
            <w:pPr>
              <w:pStyle w:val="ListParagraph"/>
              <w:widowControl w:val="0"/>
              <w:ind w:left="360"/>
              <w:contextualSpacing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 built-in hands-free systems,</w:t>
            </w:r>
          </w:p>
          <w:p w:rsidR="00A11163" w:rsidRPr="004567E2" w:rsidRDefault="00A11163" w:rsidP="00A11163">
            <w:pPr>
              <w:pStyle w:val="ListParagraph"/>
              <w:widowControl w:val="0"/>
              <w:ind w:left="360"/>
              <w:contextualSpacing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 aftermarket hands-free car kits,</w:t>
            </w:r>
          </w:p>
          <w:p w:rsidR="00A11163" w:rsidRPr="004567E2" w:rsidRDefault="00A11163" w:rsidP="00A11163">
            <w:pPr>
              <w:pStyle w:val="ListParagraph"/>
              <w:widowControl w:val="0"/>
              <w:ind w:left="360"/>
              <w:contextualSpacing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 corded headsets, and</w:t>
            </w:r>
          </w:p>
          <w:p w:rsidR="00A11163" w:rsidRPr="004567E2" w:rsidRDefault="00A11163" w:rsidP="00A11163">
            <w:pPr>
              <w:pStyle w:val="ListParagraph"/>
              <w:widowControl w:val="0"/>
              <w:ind w:left="360"/>
              <w:contextualSpacing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 wireless headsets</w:t>
            </w:r>
          </w:p>
          <w:p w:rsidR="00A11163" w:rsidRPr="004567E2" w:rsidRDefault="00A11163" w:rsidP="00A11163">
            <w:pPr>
              <w:pStyle w:val="ListParagraph"/>
              <w:widowControl w:val="0"/>
              <w:ind w:left="360"/>
              <w:contextualSpacing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to be used in motor vehicles for communication.</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This Recommendation addresses the test of complete systems as well as the subsystems hands-free microphone and the telephone with short-range wireless transmission link used to transmit the speech signals from the hands-free system to the mobile network.</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For testing purposes, the test set-up and the recommended environmental conditions are described.</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lastRenderedPageBreak/>
              <w:t>The methods, the analysis and the performance parameters described in this Recommendation are based on test signals and test procedures, as defined in Recommendations ITU</w:t>
            </w:r>
            <w:r w:rsidRPr="004567E2">
              <w:rPr>
                <w:rStyle w:val="Hyperlink"/>
                <w:rFonts w:ascii="MS Mincho" w:eastAsia="MS Mincho" w:hAnsi="MS Mincho" w:cs="MS Mincho" w:hint="eastAsia"/>
                <w:color w:val="auto"/>
                <w:sz w:val="24"/>
                <w:szCs w:val="24"/>
                <w:u w:val="none"/>
              </w:rPr>
              <w:t>‑</w:t>
            </w:r>
            <w:r w:rsidRPr="004567E2">
              <w:rPr>
                <w:rStyle w:val="Hyperlink"/>
                <w:rFonts w:ascii="Times New Roman" w:hAnsi="Times New Roman" w:cs="Times New Roman"/>
                <w:color w:val="auto"/>
                <w:sz w:val="24"/>
                <w:szCs w:val="24"/>
                <w:u w:val="none"/>
              </w:rPr>
              <w:t>T P.501, ITU</w:t>
            </w:r>
            <w:r w:rsidRPr="004567E2">
              <w:rPr>
                <w:rStyle w:val="Hyperlink"/>
                <w:rFonts w:ascii="MS Mincho" w:eastAsia="MS Mincho" w:hAnsi="MS Mincho" w:cs="MS Mincho" w:hint="eastAsia"/>
                <w:color w:val="auto"/>
                <w:sz w:val="24"/>
                <w:szCs w:val="24"/>
                <w:u w:val="none"/>
              </w:rPr>
              <w:t>‑</w:t>
            </w:r>
            <w:r w:rsidRPr="004567E2">
              <w:rPr>
                <w:rStyle w:val="Hyperlink"/>
                <w:rFonts w:ascii="Times New Roman" w:hAnsi="Times New Roman" w:cs="Times New Roman"/>
                <w:color w:val="auto"/>
                <w:sz w:val="24"/>
                <w:szCs w:val="24"/>
                <w:u w:val="none"/>
              </w:rPr>
              <w:t>T P.502, ITU</w:t>
            </w:r>
            <w:r w:rsidRPr="004567E2">
              <w:rPr>
                <w:rStyle w:val="Hyperlink"/>
                <w:rFonts w:ascii="MS Mincho" w:eastAsia="MS Mincho" w:hAnsi="MS Mincho" w:cs="MS Mincho" w:hint="eastAsia"/>
                <w:color w:val="auto"/>
                <w:sz w:val="24"/>
                <w:szCs w:val="24"/>
                <w:u w:val="none"/>
              </w:rPr>
              <w:t>‑</w:t>
            </w:r>
            <w:r w:rsidRPr="004567E2">
              <w:rPr>
                <w:rStyle w:val="Hyperlink"/>
                <w:rFonts w:ascii="Times New Roman" w:hAnsi="Times New Roman" w:cs="Times New Roman"/>
                <w:color w:val="auto"/>
                <w:sz w:val="24"/>
                <w:szCs w:val="24"/>
                <w:u w:val="none"/>
              </w:rPr>
              <w:t>T P.340, and ITU</w:t>
            </w:r>
            <w:r w:rsidRPr="004567E2">
              <w:rPr>
                <w:rStyle w:val="Hyperlink"/>
                <w:rFonts w:ascii="MS Mincho" w:eastAsia="MS Mincho" w:hAnsi="MS Mincho" w:cs="MS Mincho" w:hint="eastAsia"/>
                <w:color w:val="auto"/>
                <w:sz w:val="24"/>
                <w:szCs w:val="24"/>
                <w:u w:val="none"/>
              </w:rPr>
              <w:t>‑</w:t>
            </w:r>
            <w:r w:rsidRPr="004567E2">
              <w:rPr>
                <w:rStyle w:val="Hyperlink"/>
                <w:rFonts w:ascii="Times New Roman" w:hAnsi="Times New Roman" w:cs="Times New Roman"/>
                <w:color w:val="auto"/>
                <w:sz w:val="24"/>
                <w:szCs w:val="24"/>
                <w:u w:val="none"/>
              </w:rPr>
              <w:t>T P.380.</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268" w:history="1">
              <w:r w:rsidR="00A11163" w:rsidRPr="004567E2">
                <w:rPr>
                  <w:rStyle w:val="Hyperlink"/>
                  <w:rFonts w:ascii="Times New Roman" w:hAnsi="Times New Roman" w:cs="Times New Roman"/>
                  <w:sz w:val="24"/>
                  <w:szCs w:val="24"/>
                </w:rPr>
                <w:t>Recommendation ITU-T P.1120 “Super-wideband and fullband stereo hands-free communication in motor vehicles”</w:t>
              </w:r>
            </w:hyperlink>
            <w:r w:rsidR="00A11163" w:rsidRPr="004567E2">
              <w:rPr>
                <w:rStyle w:val="Hyperlink"/>
                <w:rFonts w:ascii="Times New Roman" w:hAnsi="Times New Roman" w:cs="Times New Roman"/>
                <w:color w:val="auto"/>
                <w:sz w:val="24"/>
                <w:szCs w:val="24"/>
                <w:u w:val="none"/>
              </w:rPr>
              <w:t xml:space="preserve"> provides guidance to systems architects, developers, and test engineers of integrated automotive speakerphones that operate around Super-WideBand (50-14,000Hz) and/or FullBand (20-20,000Hz) audio bandwidths.</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Guidance is provided on the system level (i.e., mouth/ear-to-network reference point).</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Subjective (i.e., perceptual) testing for validating a design under real life condition is provided in this Recommendation.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269" w:history="1">
              <w:r w:rsidR="00A11163" w:rsidRPr="004567E2">
                <w:rPr>
                  <w:rStyle w:val="Hyperlink"/>
                  <w:rFonts w:ascii="Times New Roman" w:hAnsi="Times New Roman" w:cs="Times New Roman"/>
                  <w:sz w:val="24"/>
                  <w:szCs w:val="24"/>
                </w:rPr>
                <w:t>Recommendation ITU-T P.1140 “ Speech communication requirements for emergency calls originating from vehicles”</w:t>
              </w:r>
            </w:hyperlink>
            <w:r w:rsidR="00A11163" w:rsidRPr="004567E2">
              <w:rPr>
                <w:rStyle w:val="Hyperlink"/>
                <w:rFonts w:ascii="Times New Roman" w:hAnsi="Times New Roman" w:cs="Times New Roman"/>
                <w:color w:val="auto"/>
                <w:sz w:val="24"/>
                <w:szCs w:val="24"/>
                <w:u w:val="none"/>
              </w:rPr>
              <w:t xml:space="preserve"> defines use cases, requirements and associated test methods for speech communication for emergency call communications originating from vehicles using a dedicated emergency call system covering built-in emergency call systems (manufacturer installed) as well as after-market emergency call kits.</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This Recommendation contains an electronic attachment containing the set of freely-available test signals referred to within the Recommendation.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70" w:history="1">
              <w:r w:rsidR="00A11163" w:rsidRPr="004567E2">
                <w:rPr>
                  <w:rStyle w:val="Hyperlink"/>
                  <w:rFonts w:ascii="Times New Roman" w:hAnsi="Times New Roman" w:cs="Times New Roman"/>
                  <w:sz w:val="24"/>
                  <w:szCs w:val="24"/>
                </w:rPr>
                <w:t>Recommendation ITU-T P.1203 “Parametric bitstream-based quality assessment of progressive download and adaptive audiovisual streaming services over reliable transport”</w:t>
              </w:r>
            </w:hyperlink>
            <w:r w:rsidR="00A11163" w:rsidRPr="004567E2">
              <w:rPr>
                <w:rFonts w:ascii="Times New Roman" w:hAnsi="Times New Roman" w:cs="Times New Roman"/>
                <w:sz w:val="24"/>
                <w:szCs w:val="24"/>
              </w:rPr>
              <w:t xml:space="preserve"> provides the introductory document for a set of documents that describe model algorithms for monitoring the integral media session quality for TCP-type video streaming. The models comprise modules for short-term audio- and video-quality estimation. The per-one-second outputs of these short-term modules are integrated into estimates of audiovisual quality and, together with information about initial loading delay and media playout stalling events, further integrated into the final model output, the estimate of integral quality. The respective ITU-T work </w:t>
            </w:r>
            <w:r w:rsidR="00A11163" w:rsidRPr="004567E2">
              <w:rPr>
                <w:rFonts w:ascii="Times New Roman" w:hAnsi="Times New Roman" w:cs="Times New Roman"/>
                <w:sz w:val="24"/>
                <w:szCs w:val="24"/>
              </w:rPr>
              <w:lastRenderedPageBreak/>
              <w:t>item has formerly been referred to as P.NATS (Parametric non-intrusive assessment of TCP-based multimedia streaming quality).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71" w:history="1">
              <w:r w:rsidR="00A11163" w:rsidRPr="004567E2">
                <w:rPr>
                  <w:rStyle w:val="Hyperlink"/>
                  <w:rFonts w:ascii="Times New Roman" w:hAnsi="Times New Roman" w:cs="Times New Roman"/>
                  <w:sz w:val="24"/>
                  <w:szCs w:val="24"/>
                </w:rPr>
                <w:t>Recommendation ITU-T P.1203.1 “Parametric bitstream-based quality assessment of progressive download and adaptive audiovisual streaming services over reliable transport - video quality estimation module”</w:t>
              </w:r>
            </w:hyperlink>
            <w:r w:rsidR="00A11163" w:rsidRPr="004567E2">
              <w:rPr>
                <w:rFonts w:ascii="Times New Roman" w:hAnsi="Times New Roman" w:cs="Times New Roman"/>
                <w:sz w:val="24"/>
                <w:szCs w:val="24"/>
              </w:rPr>
              <w:t xml:space="preserve"> specifies the short-term video representation quality estimation modules for ITU-T P.1203 (Pv module). The ITU-T P.1203 series of Recommendations specifies modules for a set of model algorithms for monitoring the integral media session quality for transport control protocol (TCP) type video streaming. The models comprise modules for short-term video-quality (described in this part of the Recommendation family) and audio-quality estimation. The per-one-second outputs of these short-term modules are integrated into estimates of audio-visual quality and together with information about initial loading delay and media playout stalling events, they are further integrated into the final model output, to provide an estimate of integral quality. The respective ITU-T work item has formerly been referred to as “Parametric non-intrusive assessment of TCP-based multimedia streaming quality”, or “P.NATS”. The ITU T P.1203.1 part of ITU-T P.1203 provides details for the modules for bitstream-based, short-term video quality estimation.</w:t>
            </w:r>
          </w:p>
          <w:p w:rsidR="00A11163" w:rsidRPr="004567E2" w:rsidRDefault="00A11163" w:rsidP="00A11163">
            <w:pPr>
              <w:widowControl w:val="0"/>
              <w:rPr>
                <w:rFonts w:ascii="Times New Roman" w:hAnsi="Times New Roman" w:cs="Times New Roman"/>
                <w:sz w:val="24"/>
                <w:szCs w:val="24"/>
              </w:rPr>
            </w:pPr>
            <w:r w:rsidRPr="004567E2">
              <w:rPr>
                <w:rFonts w:ascii="Times New Roman" w:hAnsi="Times New Roman" w:cs="Times New Roman"/>
                <w:sz w:val="24"/>
                <w:szCs w:val="24"/>
              </w:rPr>
              <w:t>Four different modes can be used for the Pv module specified in this Recommendation. These modes – referred to as mode 0 to 3 – use input information of differing complexity and amount and represent four model algorithms each with a different level of complexity. The Pv modules comprise components reflecting the effects due to video compression, up-scaling of content and the effect due to low frame rates. The four different modes use the same overall model architecture and individual coefficients and all have the same components for up-scaling and framerate. The only Pv module component that differs between modes is the Pv module component related to video compression.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72" w:history="1">
              <w:r w:rsidR="00A11163" w:rsidRPr="004567E2">
                <w:rPr>
                  <w:rStyle w:val="Hyperlink"/>
                  <w:rFonts w:ascii="Times New Roman" w:hAnsi="Times New Roman" w:cs="Times New Roman"/>
                  <w:sz w:val="24"/>
                  <w:szCs w:val="24"/>
                </w:rPr>
                <w:t xml:space="preserve">Recommendation ITU-T P.1203.3 “Parametric bitstream-based quality assessment of progressive download and adaptive audiovisual streaming services over reliable </w:t>
              </w:r>
              <w:r w:rsidR="00A11163" w:rsidRPr="004567E2">
                <w:rPr>
                  <w:rStyle w:val="Hyperlink"/>
                  <w:rFonts w:ascii="Times New Roman" w:hAnsi="Times New Roman" w:cs="Times New Roman"/>
                  <w:sz w:val="24"/>
                  <w:szCs w:val="24"/>
                </w:rPr>
                <w:lastRenderedPageBreak/>
                <w:t>transport - quality integration module”</w:t>
              </w:r>
            </w:hyperlink>
            <w:r w:rsidR="00A11163" w:rsidRPr="004567E2">
              <w:rPr>
                <w:rFonts w:ascii="Times New Roman" w:hAnsi="Times New Roman" w:cs="Times New Roman"/>
                <w:sz w:val="24"/>
                <w:szCs w:val="24"/>
              </w:rPr>
              <w:t xml:space="preserve"> specifies the quality integration module for Recommendation ITU T P.1203. The ITU-T P.1203 series of ITU-T Recommendations specify modules for monitoring the audio, video and audiovisual quality of video services such as adaptive bitrate video streaming. The respective ITU T work item has formerly been referred to as P.NATS (parametric non-intrusive assessment of TCP-based multimedia streaming quality). The ITU-T P.1203.3 part of Recommendation ITU-T P.1203 can be applied to the monitoring of performance and quality of experience (QoE) of video services such as adaptive bitrate video streaming. Besides stream-based input information, the P.1203.3 quality integration module takes the per-one-second video- and audio-quality scores calculated according to P.1203.1 and P.1203.2, respectively, as input.</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Only one quality integration module is recommended for all four modes 0 to 3 of the Recommendation ITU-T P.1203 model series, unique across all modes. This Recommendation includes an electronic attachment containing the full 20 trees described in clause 8.4.</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73" w:history="1">
              <w:r w:rsidR="00A11163" w:rsidRPr="004567E2">
                <w:rPr>
                  <w:rStyle w:val="Hyperlink"/>
                  <w:rFonts w:ascii="Times New Roman" w:hAnsi="Times New Roman" w:cs="Times New Roman"/>
                  <w:sz w:val="24"/>
                  <w:szCs w:val="24"/>
                </w:rPr>
                <w:t>ITU-T P.1301 “Subjective quality evaluation of audio and audiovisual multiparty telemeetings”</w:t>
              </w:r>
            </w:hyperlink>
            <w:r w:rsidR="00A11163" w:rsidRPr="004567E2">
              <w:rPr>
                <w:rFonts w:ascii="Times New Roman" w:hAnsi="Times New Roman" w:cs="Times New Roman"/>
                <w:sz w:val="24"/>
                <w:szCs w:val="24"/>
              </w:rPr>
              <w:t xml:space="preserve"> concerns subjective quality assessment of telemeeting systems that provide multiparty communication between distant locations, using audio-only, video-only, audiovisual, text-based or graphical means as communication modes. The term multiparty refers to more than two meeting participants who can be located at two or more locations.</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Evaluation of those systems can focus on audio-only, video-only or audiovisual quality aspects and non-interactive or conversational quality can be assessed.</w:t>
            </w:r>
          </w:p>
          <w:p w:rsidR="00A11163" w:rsidRPr="004567E2" w:rsidRDefault="00A11163" w:rsidP="00A11163">
            <w:pPr>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This recommendation gives an overview of relevant aspects that need to be considered for subjective quality evaluation of multiparty telemeetings and provides guidance to recommendations describing the details of applicable methods and procedures. Aspects in this recommendation are also applicable to two-party telemeetings.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Style w:val="Hyperlink"/>
                <w:rFonts w:ascii="Times New Roman" w:hAnsi="Times New Roman" w:cs="Times New Roman"/>
                <w:sz w:val="24"/>
                <w:szCs w:val="24"/>
                <w:u w:val="none"/>
              </w:rPr>
            </w:pPr>
            <w:hyperlink r:id="rId274" w:history="1">
              <w:r w:rsidR="00A11163" w:rsidRPr="004567E2">
                <w:rPr>
                  <w:rStyle w:val="Hyperlink"/>
                  <w:rFonts w:ascii="Times New Roman" w:hAnsi="Times New Roman" w:cs="Times New Roman"/>
                  <w:sz w:val="24"/>
                  <w:szCs w:val="24"/>
                </w:rPr>
                <w:t>Recommendation ITU-T P.1310 “Spatial audio meetings quality evaluation”</w:t>
              </w:r>
            </w:hyperlink>
            <w:r w:rsidR="00A11163" w:rsidRPr="004567E2">
              <w:rPr>
                <w:rStyle w:val="Hyperlink"/>
                <w:rFonts w:ascii="Times New Roman" w:hAnsi="Times New Roman" w:cs="Times New Roman"/>
                <w:color w:val="auto"/>
                <w:sz w:val="24"/>
                <w:szCs w:val="24"/>
                <w:u w:val="none"/>
              </w:rPr>
              <w:t xml:space="preserve"> </w:t>
            </w:r>
            <w:r w:rsidR="00A11163" w:rsidRPr="004567E2">
              <w:rPr>
                <w:rStyle w:val="Hyperlink"/>
                <w:rFonts w:ascii="Times New Roman" w:hAnsi="Times New Roman" w:cs="Times New Roman"/>
                <w:color w:val="auto"/>
                <w:sz w:val="24"/>
                <w:szCs w:val="24"/>
                <w:u w:val="none"/>
              </w:rPr>
              <w:lastRenderedPageBreak/>
              <w:t>concerns the quality assessment of telemeeting systems that apply spatial audio rendering techniques to facilitate communication between parties at remote locations.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75" w:history="1">
              <w:r w:rsidR="00A11163" w:rsidRPr="004567E2">
                <w:rPr>
                  <w:rStyle w:val="Hyperlink"/>
                  <w:rFonts w:ascii="Times New Roman" w:hAnsi="Times New Roman" w:cs="Times New Roman"/>
                  <w:sz w:val="24"/>
                  <w:szCs w:val="24"/>
                </w:rPr>
                <w:t>Recommendation ITU-T Y.1543 “Measurements in IP networks for inter-domain performance assessment”</w:t>
              </w:r>
            </w:hyperlink>
            <w:r w:rsidR="00A11163" w:rsidRPr="004567E2">
              <w:rPr>
                <w:rFonts w:ascii="Times New Roman" w:hAnsi="Times New Roman" w:cs="Times New Roman"/>
                <w:sz w:val="24"/>
                <w:szCs w:val="24"/>
              </w:rPr>
              <w:t xml:space="preserve"> specifies a set of IP performance parameters and methods of measurement applicable when assessing the quality of packet transfer on inter-domain paths. The methods anticipate that there will be multiple measurement systems, each conducting measurements of a segment of the customer-to-customer path, and recommend configurations that should produce useful results in this cooperative scenario. The methods rely on existing parameter definitions and encompass both active and passive measurement techniques. The Recommendation specifies Requirements for trustworthy IP QoS monitoring, to ensure that results will have a foundation in scientific method where sources of error are quantified. Thus, meaningful discussions of network quality of service (QoS) between users and service providers are most relevant when based on measurements at measurement points that correspond to the demarcation points of the service agreement.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76" w:history="1">
              <w:r w:rsidR="00A11163" w:rsidRPr="004567E2">
                <w:rPr>
                  <w:rStyle w:val="Hyperlink"/>
                  <w:rFonts w:ascii="Times New Roman" w:hAnsi="Times New Roman" w:cs="Times New Roman"/>
                  <w:sz w:val="24"/>
                  <w:szCs w:val="24"/>
                </w:rPr>
                <w:t>Recommendation ITU-T Y.1545.1 “Framework for monitoring9 the QoS of IP network services”</w:t>
              </w:r>
            </w:hyperlink>
            <w:r w:rsidR="00A11163" w:rsidRPr="004567E2">
              <w:rPr>
                <w:rFonts w:ascii="Times New Roman" w:hAnsi="Times New Roman" w:cs="Times New Roman"/>
                <w:b/>
                <w:bCs/>
                <w:sz w:val="24"/>
                <w:szCs w:val="24"/>
              </w:rPr>
              <w:t xml:space="preserve"> </w:t>
            </w:r>
            <w:r w:rsidR="00A11163" w:rsidRPr="004567E2">
              <w:rPr>
                <w:rFonts w:ascii="Times New Roman" w:hAnsi="Times New Roman" w:cs="Times New Roman"/>
                <w:sz w:val="24"/>
                <w:szCs w:val="24"/>
              </w:rPr>
              <w:t>is a diagnostic reference for IP network quality of service monitoring, and primarily as a guide to assist regulators monitor the quality of service of Internet that is provided by service providers (although subscribers and network service providers may also derive benefit). It highlights the necessity of monitoring the QoS of network services offered by Internet service providers (ISPs), from the diagnostic and regulatory points of view. The Recommendation also addresses quality of service evaluation scenarios, sampling methodology and testing tools for regulators. Finally, this Recommendation gives a guidance to regulators about minimum QoS parameters for evaluating the quality of Internet services.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277" w:history="1">
              <w:r w:rsidR="00A11163" w:rsidRPr="004567E2">
                <w:rPr>
                  <w:rStyle w:val="Hyperlink"/>
                  <w:rFonts w:ascii="Times New Roman" w:hAnsi="Times New Roman" w:cs="Times New Roman"/>
                  <w:sz w:val="24"/>
                  <w:szCs w:val="24"/>
                </w:rPr>
                <w:t>Recommendation ITU-T Y.1546 Amd.1 “Hand-over performance among multiple access networks – Amendment 1 - IP-Based Service Availability Function”</w:t>
              </w:r>
            </w:hyperlink>
            <w:r w:rsidR="00A11163" w:rsidRPr="004567E2">
              <w:rPr>
                <w:rFonts w:ascii="Times New Roman" w:hAnsi="Times New Roman" w:cs="Times New Roman"/>
                <w:sz w:val="24"/>
                <w:szCs w:val="24"/>
              </w:rPr>
              <w:t xml:space="preserve"> introduces new Annex C on the IP-Based Service Availability Function.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SG12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278" w:history="1">
              <w:r w:rsidR="00A11163" w:rsidRPr="004567E2">
                <w:rPr>
                  <w:rStyle w:val="Hyperlink"/>
                  <w:rFonts w:ascii="Times New Roman" w:hAnsi="Times New Roman" w:cs="Times New Roman"/>
                  <w:sz w:val="24"/>
                  <w:szCs w:val="24"/>
                </w:rPr>
                <w:t>ITU-T Technical Report PSTR-CROWDS“Subjective evaluation of quality of media with a crowdsourcing approach”</w:t>
              </w:r>
            </w:hyperlink>
            <w:r w:rsidR="00A11163" w:rsidRPr="004567E2">
              <w:rPr>
                <w:rFonts w:ascii="Times New Roman" w:hAnsi="Times New Roman" w:cs="Times New Roman"/>
                <w:sz w:val="24"/>
                <w:szCs w:val="24"/>
              </w:rPr>
              <w:t xml:space="preserve"> introduces the basic concepts of crowdsourcing, its application in quality assessment studies, and describes general principles of a subjective methodology for assessing media quality using micro-task crowdsourcing. Micro-task crowdsourcing offers fast, low cost, and scalable approaches by outsourcing tasks to a large number of participants. In addition, crowdsourcing also provides a large diverse pool of participants, and a real-life environment for quality assessment of multimedia services and applications. Nevertheless, crowdsourcing methods cannot be understood as direct implementations of laboratory testing methods in an Internet-based environment, due to factors they inherit from the nature of crowdsourcing. Therefore, crowdsourcing experiments should be designed differently. The proposed principles for crowdsourcing subjective assessment methods enable experimenters to collect a large number of media quality ratings (video, image, speech, and audio-visual) in a short period of time from a diverse population of participants and in realistic environments.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279" w:history="1">
              <w:r w:rsidR="00A11163" w:rsidRPr="004567E2">
                <w:rPr>
                  <w:rStyle w:val="Hyperlink"/>
                  <w:rFonts w:ascii="Times New Roman" w:hAnsi="Times New Roman" w:cs="Times New Roman"/>
                  <w:sz w:val="24"/>
                  <w:szCs w:val="24"/>
                </w:rPr>
                <w:t>Recommendation ITU-T Y.2814 "Mobility management framework over reconfigurable networks</w:t>
              </w:r>
            </w:hyperlink>
            <w:r w:rsidR="00A11163" w:rsidRPr="004567E2">
              <w:rPr>
                <w:rStyle w:val="Hyperlink"/>
                <w:rFonts w:ascii="Times New Roman" w:hAnsi="Times New Roman" w:cs="Times New Roman"/>
                <w:color w:val="auto"/>
                <w:sz w:val="24"/>
                <w:szCs w:val="24"/>
                <w:u w:val="none"/>
              </w:rPr>
              <w:t>" focuses on application-driven mobility management of user devices, related functions and services, to improve user's quality of experience in the evolving reconfigurable network environment. The important issues on this Recommendation include:</w:t>
            </w:r>
          </w:p>
          <w:p w:rsidR="00A11163" w:rsidRPr="004567E2" w:rsidRDefault="00A11163" w:rsidP="00A11163">
            <w:pPr>
              <w:pStyle w:val="ListParagraph"/>
              <w:widowControl w:val="0"/>
              <w:numPr>
                <w:ilvl w:val="0"/>
                <w:numId w:val="11"/>
              </w:numPr>
              <w:contextualSpacing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Enhanced management on location, handover and connection over reconfigurable networks;</w:t>
            </w:r>
          </w:p>
          <w:p w:rsidR="00A11163" w:rsidRPr="004567E2" w:rsidRDefault="00A11163" w:rsidP="00A11163">
            <w:pPr>
              <w:pStyle w:val="ListParagraph"/>
              <w:widowControl w:val="0"/>
              <w:numPr>
                <w:ilvl w:val="0"/>
                <w:numId w:val="11"/>
              </w:numPr>
              <w:contextualSpacing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Application based mobility management orchestration for automation and optimization;</w:t>
            </w:r>
          </w:p>
          <w:p w:rsidR="00A11163" w:rsidRPr="004567E2" w:rsidRDefault="00A11163" w:rsidP="00A11163">
            <w:pPr>
              <w:pStyle w:val="ListParagraph"/>
              <w:widowControl w:val="0"/>
              <w:numPr>
                <w:ilvl w:val="0"/>
                <w:numId w:val="11"/>
              </w:numPr>
              <w:contextualSpacing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 xml:space="preserve">Open interface supporting mobility of applications and services deployed on </w:t>
            </w:r>
            <w:r w:rsidRPr="004567E2">
              <w:rPr>
                <w:rStyle w:val="Hyperlink"/>
                <w:rFonts w:ascii="Times New Roman" w:hAnsi="Times New Roman" w:cs="Times New Roman"/>
                <w:color w:val="auto"/>
                <w:sz w:val="24"/>
                <w:szCs w:val="24"/>
                <w:u w:val="none"/>
              </w:rPr>
              <w:lastRenderedPageBreak/>
              <w:t>this framework.</w:t>
            </w:r>
          </w:p>
          <w:p w:rsidR="00A11163" w:rsidRPr="004567E2" w:rsidRDefault="00A11163" w:rsidP="00A11163">
            <w:pPr>
              <w:rPr>
                <w:rFonts w:ascii="Times New Roman" w:hAnsi="Times New Roman" w:cs="Times New Roman"/>
                <w:bCs/>
                <w:color w:val="000000"/>
                <w:sz w:val="24"/>
                <w:szCs w:val="24"/>
              </w:rPr>
            </w:pPr>
            <w:r w:rsidRPr="004567E2">
              <w:rPr>
                <w:rStyle w:val="Hyperlink"/>
                <w:rFonts w:ascii="Times New Roman" w:hAnsi="Times New Roman" w:cs="Times New Roman"/>
                <w:color w:val="auto"/>
                <w:sz w:val="24"/>
                <w:szCs w:val="24"/>
                <w:u w:val="none"/>
              </w:rPr>
              <w:t>This Recommendation describes requirements, functional architecture, information flows and service scenarios to specify the target mobility management framework.</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80" w:history="1">
              <w:r w:rsidR="00A11163" w:rsidRPr="004567E2">
                <w:rPr>
                  <w:rStyle w:val="Hyperlink"/>
                  <w:rFonts w:ascii="Times New Roman" w:hAnsi="Times New Roman" w:cs="Times New Roman"/>
                  <w:sz w:val="24"/>
                  <w:szCs w:val="24"/>
                </w:rPr>
                <w:t>Recommendation ITU-T Y.3100 “Terms and definitions for IMT-2020 network”</w:t>
              </w:r>
            </w:hyperlink>
            <w:r w:rsidR="00A11163" w:rsidRPr="004567E2">
              <w:rPr>
                <w:rFonts w:ascii="Times New Roman" w:hAnsi="Times New Roman" w:cs="Times New Roman"/>
                <w:sz w:val="24"/>
                <w:szCs w:val="24"/>
              </w:rPr>
              <w:t xml:space="preserve"> describes essential terms and their definitions for IMT-2020 network to provide a general common understanding for ITU-T IMT-2020 related standard documents. It can be used as a guideline for the further development of IMT-2020 related documents. The terms defined in this Recommendation will constitute a reference for other ITU-T IMT-2020 related standard documents.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81" w:history="1">
              <w:r w:rsidR="00A11163" w:rsidRPr="004567E2">
                <w:rPr>
                  <w:rStyle w:val="Hyperlink"/>
                  <w:rFonts w:ascii="Times New Roman" w:hAnsi="Times New Roman" w:cs="Times New Roman"/>
                  <w:sz w:val="24"/>
                  <w:szCs w:val="24"/>
                </w:rPr>
                <w:t>Recommendation ITU-T Y.3110 “IMT-2020 Network Management and Orchestration Requirements”</w:t>
              </w:r>
            </w:hyperlink>
            <w:r w:rsidR="00A11163" w:rsidRPr="004567E2">
              <w:rPr>
                <w:rFonts w:ascii="Times New Roman" w:hAnsi="Times New Roman" w:cs="Times New Roman"/>
                <w:sz w:val="24"/>
                <w:szCs w:val="24"/>
              </w:rPr>
              <w:t xml:space="preserve"> describes requirements for network management and orchestration of IMT-2020. It describes high-level and functional requirements. The functional requirements consist of two levels: a) lifecycle management for all slices and b) instance management pertinent to each slice.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82" w:history="1">
              <w:r w:rsidR="00A11163" w:rsidRPr="004567E2">
                <w:rPr>
                  <w:rStyle w:val="Hyperlink"/>
                  <w:rFonts w:ascii="Times New Roman" w:hAnsi="Times New Roman" w:cs="Times New Roman"/>
                  <w:sz w:val="24"/>
                  <w:szCs w:val="24"/>
                </w:rPr>
                <w:t>Recommendation ITU-T Y.3111 “IMT-2020 Network Management and Orchestration Framework”</w:t>
              </w:r>
            </w:hyperlink>
            <w:r w:rsidR="00A11163" w:rsidRPr="004567E2">
              <w:rPr>
                <w:rFonts w:ascii="Times New Roman" w:hAnsi="Times New Roman" w:cs="Times New Roman"/>
                <w:sz w:val="24"/>
                <w:szCs w:val="24"/>
              </w:rPr>
              <w:t xml:space="preserve"> provides network management and orchestration architecture and functional components for design, deployment, and operation to implement IMT-2020 network covering fixed and mobile networks.</w:t>
            </w:r>
          </w:p>
          <w:p w:rsidR="00A11163" w:rsidRPr="004567E2" w:rsidRDefault="00A11163" w:rsidP="00A11163">
            <w:pPr>
              <w:pStyle w:val="NormalWeb"/>
              <w:spacing w:before="0" w:beforeAutospacing="0" w:after="0" w:afterAutospacing="0"/>
              <w:rPr>
                <w:lang w:val="en-GB"/>
              </w:rPr>
            </w:pPr>
            <w:r w:rsidRPr="004567E2">
              <w:rPr>
                <w:lang w:val="en-GB"/>
              </w:rPr>
              <w:t xml:space="preserve">The FG-IMT2020’s </w:t>
            </w:r>
            <w:hyperlink r:id="rId283" w:history="1">
              <w:r w:rsidRPr="004567E2">
                <w:rPr>
                  <w:rStyle w:val="Hyperlink"/>
                  <w:lang w:val="en-GB"/>
                </w:rPr>
                <w:t>output</w:t>
              </w:r>
            </w:hyperlink>
            <w:r w:rsidRPr="004567E2">
              <w:rPr>
                <w:lang w:val="en-GB"/>
              </w:rPr>
              <w:t xml:space="preserve"> takes the form of five draft ITU international standards and four draft ITU technical reports to drive related work in ITU-T Study Groups.</w:t>
            </w:r>
          </w:p>
          <w:p w:rsidR="00A11163" w:rsidRPr="004567E2" w:rsidRDefault="00A11163" w:rsidP="00A11163">
            <w:pPr>
              <w:pStyle w:val="NormalWeb"/>
              <w:spacing w:before="0" w:beforeAutospacing="0" w:after="0" w:afterAutospacing="0"/>
              <w:rPr>
                <w:lang w:val="en-GB"/>
              </w:rPr>
            </w:pPr>
            <w:r w:rsidRPr="004567E2">
              <w:rPr>
                <w:lang w:val="en-GB"/>
              </w:rPr>
              <w:t>Draft ITU international standards:</w:t>
            </w:r>
          </w:p>
          <w:p w:rsidR="00A11163" w:rsidRPr="004567E2" w:rsidRDefault="00A11163" w:rsidP="00A11163">
            <w:pPr>
              <w:ind w:left="720"/>
              <w:rPr>
                <w:rFonts w:ascii="Times New Roman" w:hAnsi="Times New Roman" w:cs="Times New Roman"/>
                <w:sz w:val="24"/>
                <w:szCs w:val="24"/>
              </w:rPr>
            </w:pPr>
            <w:r w:rsidRPr="004567E2">
              <w:rPr>
                <w:rFonts w:ascii="Times New Roman" w:hAnsi="Times New Roman" w:cs="Times New Roman"/>
                <w:sz w:val="24"/>
                <w:szCs w:val="24"/>
              </w:rPr>
              <w:t>Requirements of IMT-2020 from network perspective</w:t>
            </w:r>
          </w:p>
          <w:p w:rsidR="00A11163" w:rsidRPr="004567E2" w:rsidRDefault="00A11163" w:rsidP="00A11163">
            <w:pPr>
              <w:ind w:left="720"/>
              <w:rPr>
                <w:rFonts w:ascii="Times New Roman" w:hAnsi="Times New Roman" w:cs="Times New Roman"/>
                <w:sz w:val="24"/>
                <w:szCs w:val="24"/>
              </w:rPr>
            </w:pPr>
            <w:r w:rsidRPr="004567E2">
              <w:rPr>
                <w:rFonts w:ascii="Times New Roman" w:hAnsi="Times New Roman" w:cs="Times New Roman"/>
                <w:sz w:val="24"/>
                <w:szCs w:val="24"/>
              </w:rPr>
              <w:t>Framework for IMT-2020 network architecture</w:t>
            </w:r>
          </w:p>
          <w:p w:rsidR="00A11163" w:rsidRPr="004567E2" w:rsidRDefault="00A11163" w:rsidP="00A11163">
            <w:pPr>
              <w:ind w:left="720"/>
              <w:rPr>
                <w:rFonts w:ascii="Times New Roman" w:hAnsi="Times New Roman" w:cs="Times New Roman"/>
                <w:sz w:val="24"/>
                <w:szCs w:val="24"/>
              </w:rPr>
            </w:pPr>
            <w:r w:rsidRPr="004567E2">
              <w:rPr>
                <w:rFonts w:ascii="Times New Roman" w:hAnsi="Times New Roman" w:cs="Times New Roman"/>
                <w:sz w:val="24"/>
                <w:szCs w:val="24"/>
              </w:rPr>
              <w:t>Requirements of IMT-2020 fixed mobile convergence</w:t>
            </w:r>
          </w:p>
          <w:p w:rsidR="00A11163" w:rsidRPr="004567E2" w:rsidRDefault="00A11163" w:rsidP="00A11163">
            <w:pPr>
              <w:ind w:left="720"/>
              <w:rPr>
                <w:rFonts w:ascii="Times New Roman" w:hAnsi="Times New Roman" w:cs="Times New Roman"/>
                <w:sz w:val="24"/>
                <w:szCs w:val="24"/>
              </w:rPr>
            </w:pPr>
            <w:r w:rsidRPr="004567E2">
              <w:rPr>
                <w:rFonts w:ascii="Times New Roman" w:hAnsi="Times New Roman" w:cs="Times New Roman"/>
                <w:sz w:val="24"/>
                <w:szCs w:val="24"/>
              </w:rPr>
              <w:t>IMT-2020 network management requirements</w:t>
            </w:r>
          </w:p>
          <w:p w:rsidR="00A11163" w:rsidRPr="004567E2" w:rsidRDefault="00A11163" w:rsidP="00A11163">
            <w:pPr>
              <w:ind w:left="720"/>
              <w:rPr>
                <w:rFonts w:ascii="Times New Roman" w:hAnsi="Times New Roman" w:cs="Times New Roman"/>
                <w:sz w:val="24"/>
                <w:szCs w:val="24"/>
              </w:rPr>
            </w:pPr>
            <w:r w:rsidRPr="004567E2">
              <w:rPr>
                <w:rFonts w:ascii="Times New Roman" w:hAnsi="Times New Roman" w:cs="Times New Roman"/>
                <w:sz w:val="24"/>
                <w:szCs w:val="24"/>
              </w:rPr>
              <w:t>Network management framework for IMT-2020</w:t>
            </w:r>
          </w:p>
          <w:p w:rsidR="00A11163" w:rsidRPr="004567E2" w:rsidRDefault="00A11163" w:rsidP="00A11163">
            <w:pPr>
              <w:pStyle w:val="NormalWeb"/>
              <w:spacing w:before="0" w:beforeAutospacing="0" w:after="0" w:afterAutospacing="0"/>
              <w:rPr>
                <w:lang w:val="en-GB"/>
              </w:rPr>
            </w:pPr>
            <w:r w:rsidRPr="004567E2">
              <w:rPr>
                <w:lang w:val="en-GB"/>
              </w:rPr>
              <w:t>Draft ITU technical reports:</w:t>
            </w:r>
          </w:p>
          <w:p w:rsidR="00A11163" w:rsidRPr="004567E2" w:rsidRDefault="00A11163" w:rsidP="00A11163">
            <w:pPr>
              <w:ind w:left="720"/>
              <w:rPr>
                <w:rFonts w:ascii="Times New Roman" w:hAnsi="Times New Roman" w:cs="Times New Roman"/>
                <w:sz w:val="24"/>
                <w:szCs w:val="24"/>
              </w:rPr>
            </w:pPr>
            <w:r w:rsidRPr="004567E2">
              <w:rPr>
                <w:rFonts w:ascii="Times New Roman" w:hAnsi="Times New Roman" w:cs="Times New Roman"/>
                <w:sz w:val="24"/>
                <w:szCs w:val="24"/>
              </w:rPr>
              <w:t>Application of network softwarization to IMT-2020</w:t>
            </w:r>
          </w:p>
          <w:p w:rsidR="00A11163" w:rsidRPr="004567E2" w:rsidRDefault="00A11163" w:rsidP="00A11163">
            <w:pPr>
              <w:ind w:left="720"/>
              <w:rPr>
                <w:rFonts w:ascii="Times New Roman" w:hAnsi="Times New Roman" w:cs="Times New Roman"/>
                <w:sz w:val="24"/>
                <w:szCs w:val="24"/>
              </w:rPr>
            </w:pPr>
            <w:r w:rsidRPr="004567E2">
              <w:rPr>
                <w:rFonts w:ascii="Times New Roman" w:hAnsi="Times New Roman" w:cs="Times New Roman"/>
                <w:sz w:val="24"/>
                <w:szCs w:val="24"/>
              </w:rPr>
              <w:t>Unified network integrated cloud for fixed mobile convergence</w:t>
            </w:r>
          </w:p>
          <w:p w:rsidR="00A11163" w:rsidRPr="004567E2" w:rsidRDefault="00A11163" w:rsidP="00A11163">
            <w:pPr>
              <w:ind w:left="720"/>
              <w:rPr>
                <w:rFonts w:ascii="Times New Roman" w:hAnsi="Times New Roman" w:cs="Times New Roman"/>
                <w:sz w:val="24"/>
                <w:szCs w:val="24"/>
              </w:rPr>
            </w:pPr>
            <w:r w:rsidRPr="004567E2">
              <w:rPr>
                <w:rFonts w:ascii="Times New Roman" w:hAnsi="Times New Roman" w:cs="Times New Roman"/>
                <w:sz w:val="24"/>
                <w:szCs w:val="24"/>
              </w:rPr>
              <w:lastRenderedPageBreak/>
              <w:t>Application of information centric networking to IMT-2020</w:t>
            </w:r>
          </w:p>
          <w:p w:rsidR="00A11163" w:rsidRPr="004567E2" w:rsidRDefault="00A11163" w:rsidP="00A11163">
            <w:pPr>
              <w:ind w:left="720"/>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Terms and definitions for IMT-2020 in ITU-T.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84" w:history="1">
              <w:r w:rsidR="00A11163" w:rsidRPr="004567E2">
                <w:rPr>
                  <w:rStyle w:val="Hyperlink"/>
                  <w:rFonts w:ascii="Times New Roman" w:hAnsi="Times New Roman" w:cs="Times New Roman"/>
                  <w:sz w:val="24"/>
                  <w:szCs w:val="24"/>
                </w:rPr>
                <w:t>Recommendation ITU-T I.570 “Public/private ISDN interworking”</w:t>
              </w:r>
            </w:hyperlink>
            <w:r w:rsidR="00A11163" w:rsidRPr="004567E2">
              <w:rPr>
                <w:rFonts w:ascii="Times New Roman" w:hAnsi="Times New Roman" w:cs="Times New Roman"/>
                <w:sz w:val="24"/>
                <w:szCs w:val="24"/>
              </w:rPr>
              <w:t xml:space="preserve"> is focusing on the aspect of private networks connect to public ISDN with ISUP and presented public/private ISDN interworking reference configuration, scenario, interworking requirement, etc.</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85" w:history="1">
              <w:r w:rsidR="00A11163" w:rsidRPr="004567E2">
                <w:rPr>
                  <w:rStyle w:val="Hyperlink"/>
                  <w:rFonts w:ascii="Times New Roman" w:hAnsi="Times New Roman" w:cs="Times New Roman"/>
                  <w:sz w:val="24"/>
                  <w:szCs w:val="24"/>
                </w:rPr>
                <w:t>Recommendation ITU-T Y.2085 “Distributed service networking service routing“</w:t>
              </w:r>
            </w:hyperlink>
            <w:r w:rsidR="00A11163" w:rsidRPr="004567E2">
              <w:rPr>
                <w:rFonts w:ascii="Times New Roman" w:hAnsi="Times New Roman" w:cs="Times New Roman"/>
                <w:sz w:val="24"/>
                <w:szCs w:val="24"/>
              </w:rPr>
              <w:t xml:space="preserve"> specifies the architecture for Service Routing Functions (SRF). Service Routing supports the service registration, discovery, and triggering and access mechanisms in the environment of DSN as described in Recommendation ITU-T Y.2080.</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286" w:history="1">
              <w:r w:rsidR="00A11163" w:rsidRPr="004567E2">
                <w:rPr>
                  <w:rStyle w:val="Hyperlink"/>
                  <w:rFonts w:ascii="Times New Roman" w:hAnsi="Times New Roman" w:cs="Times New Roman"/>
                  <w:sz w:val="24"/>
                  <w:szCs w:val="24"/>
                </w:rPr>
                <w:t>Recommendation ITU-T Y.2255 “Voice and Video Call Continuity over LTE, Wi-Fi and 2G/3G”</w:t>
              </w:r>
            </w:hyperlink>
            <w:r w:rsidR="00A11163" w:rsidRPr="004567E2">
              <w:rPr>
                <w:rFonts w:ascii="Times New Roman" w:hAnsi="Times New Roman" w:cs="Times New Roman"/>
                <w:sz w:val="24"/>
                <w:szCs w:val="24"/>
              </w:rPr>
              <w:t xml:space="preserve"> specifies the voice and video call continuity (VCC) over LTE, Wi-Fi and 2G/3G. The scenarios and relevant requirements are specified, as well as the solutions for access transfer between each of the access types, handover policy, terminating access domain selection (T-ADS), evolved packet data gateway (ePDG) selection and other call continuity related solutions.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87" w:history="1">
              <w:r w:rsidR="00A11163" w:rsidRPr="004567E2">
                <w:rPr>
                  <w:rStyle w:val="Hyperlink"/>
                  <w:rFonts w:ascii="Times New Roman" w:hAnsi="Times New Roman" w:cs="Times New Roman"/>
                  <w:sz w:val="24"/>
                  <w:szCs w:val="24"/>
                </w:rPr>
                <w:t>Recommendation ITU-T Y.2305 “Unified management of Content Delivery Networks”</w:t>
              </w:r>
            </w:hyperlink>
            <w:r w:rsidR="00A11163" w:rsidRPr="004567E2">
              <w:rPr>
                <w:rFonts w:ascii="Times New Roman" w:hAnsi="Times New Roman" w:cs="Times New Roman"/>
                <w:sz w:val="24"/>
                <w:szCs w:val="24"/>
              </w:rPr>
              <w:t xml:space="preserve"> specifies requirements, mechanisms, security considerations for unified management of multiple Content Delivery Networks (CDNs), in order to support simple and optimized interconnection between different CDNs. This Recommendation provides a technical solution of ‘CDN manager’ with capabilities of content synchronization, user’s request routing, and other related unified management functionalities, to build up a global content delivery network.</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88" w:history="1">
              <w:r w:rsidR="00A11163" w:rsidRPr="004567E2">
                <w:rPr>
                  <w:rStyle w:val="Hyperlink"/>
                  <w:rFonts w:ascii="Times New Roman" w:hAnsi="Times New Roman" w:cs="Times New Roman"/>
                  <w:sz w:val="24"/>
                  <w:szCs w:val="24"/>
                </w:rPr>
                <w:t>Recommendation ITU-T Y.2322 “The functional architecture of VCNMO (Virtualized Control Network entities Management and Orchestrator) in NGN evolution”</w:t>
              </w:r>
            </w:hyperlink>
            <w:r w:rsidR="00A11163" w:rsidRPr="004567E2">
              <w:rPr>
                <w:rFonts w:ascii="Times New Roman" w:hAnsi="Times New Roman" w:cs="Times New Roman"/>
                <w:sz w:val="24"/>
                <w:szCs w:val="24"/>
              </w:rPr>
              <w:t xml:space="preserve"> focuses on the functions, functional entities and reference points of VCNMO (Virtualized Control Network entities Management and Orchestrator) and its subcomponents in the architecture of VCN. This Recommendation defines the </w:t>
            </w:r>
            <w:r w:rsidR="00A11163" w:rsidRPr="004567E2">
              <w:rPr>
                <w:rFonts w:ascii="Times New Roman" w:hAnsi="Times New Roman" w:cs="Times New Roman"/>
                <w:sz w:val="24"/>
                <w:szCs w:val="24"/>
              </w:rPr>
              <w:lastRenderedPageBreak/>
              <w:t>functional architecture of VCNMO and specifies the related reference points of VCNMO, which includes orchestrator, VCNM and VIM of VCN. The architecture design of this recommendation will fulfill the requirements proposed by ITU-T Y.2320. The high level description of functions and reference points related to orchestrator, VCNM and VIM in this recommendation are consistent with the functions and reference points standardized in ITU-T Y.2321.</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A11163" w:rsidP="00A11163">
            <w:pPr>
              <w:widowControl w:val="0"/>
              <w:rPr>
                <w:rStyle w:val="Hyperlink"/>
                <w:rFonts w:ascii="Times New Roman" w:hAnsi="Times New Roman" w:cs="Times New Roman"/>
                <w:sz w:val="24"/>
                <w:szCs w:val="24"/>
              </w:rPr>
            </w:pPr>
            <w:r w:rsidRPr="004567E2">
              <w:rPr>
                <w:rStyle w:val="Hyperlink"/>
                <w:rFonts w:ascii="Times New Roman" w:hAnsi="Times New Roman" w:cs="Times New Roman"/>
                <w:sz w:val="24"/>
                <w:szCs w:val="24"/>
              </w:rPr>
              <w:t xml:space="preserve">Recommendation ITU-T Y.2323 “Requirements and capabilities of orchestration in next generation network evolution” </w:t>
            </w:r>
            <w:r w:rsidRPr="004567E2">
              <w:rPr>
                <w:rFonts w:ascii="Times New Roman" w:hAnsi="Times New Roman" w:cs="Times New Roman"/>
                <w:sz w:val="24"/>
                <w:szCs w:val="24"/>
              </w:rPr>
              <w:t>(under approval) provides the scenarios of the orchestration in NGNe, specifies the general requirements of the orchestration in NGNe, and also introduces its capabilities from the perspective of NGN evolution and the coordination of NGNs and the networks implemented by SDN and NFV technologies.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Style w:val="Hyperlink"/>
                <w:rFonts w:ascii="Times New Roman" w:hAnsi="Times New Roman" w:cs="Times New Roman"/>
                <w:sz w:val="24"/>
                <w:szCs w:val="24"/>
                <w:u w:val="none"/>
              </w:rPr>
            </w:pPr>
            <w:hyperlink r:id="rId289" w:history="1">
              <w:r w:rsidR="00A11163" w:rsidRPr="004567E2">
                <w:rPr>
                  <w:rStyle w:val="Hyperlink"/>
                  <w:rFonts w:ascii="Times New Roman" w:hAnsi="Times New Roman" w:cs="Times New Roman"/>
                  <w:sz w:val="24"/>
                  <w:szCs w:val="24"/>
                </w:rPr>
                <w:t>Recommendation ITU-T Y.2618 “M interface in Public packet Telecommunication Data Network (PTDN)”</w:t>
              </w:r>
            </w:hyperlink>
            <w:r w:rsidR="00A11163" w:rsidRPr="004567E2">
              <w:rPr>
                <w:rStyle w:val="Hyperlink"/>
                <w:rFonts w:ascii="Times New Roman" w:hAnsi="Times New Roman" w:cs="Times New Roman"/>
                <w:color w:val="auto"/>
                <w:sz w:val="24"/>
                <w:szCs w:val="24"/>
                <w:u w:val="none"/>
              </w:rPr>
              <w:t xml:space="preserve"> defines the reference point M interface in the Public packet Telecommunication Data Network (PTDN), specifies common PTDN management functions and protocols and defines specific PTDN management functions related to VPN and multicast service.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290" w:history="1">
              <w:r w:rsidR="00A11163" w:rsidRPr="004567E2">
                <w:rPr>
                  <w:rStyle w:val="Hyperlink"/>
                  <w:rFonts w:ascii="Times New Roman" w:hAnsi="Times New Roman" w:cs="Times New Roman"/>
                  <w:sz w:val="24"/>
                  <w:szCs w:val="24"/>
                </w:rPr>
                <w:t>Recommendation ITU-T Y.2619 “Operation, administration, and maintenance functions and mechanisms for Public packet Telecommunication Data Network (PTDN)”</w:t>
              </w:r>
            </w:hyperlink>
            <w:r w:rsidR="00A11163" w:rsidRPr="004567E2">
              <w:rPr>
                <w:rStyle w:val="Hyperlink"/>
                <w:rFonts w:ascii="Times New Roman" w:hAnsi="Times New Roman" w:cs="Times New Roman"/>
                <w:color w:val="auto"/>
                <w:sz w:val="24"/>
                <w:szCs w:val="24"/>
                <w:u w:val="none"/>
              </w:rPr>
              <w:t xml:space="preserve"> specifies maintenance entities, OAM functions, and common OAM mechanisms in PTDN.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91" w:history="1">
              <w:r w:rsidR="00A11163" w:rsidRPr="004567E2">
                <w:rPr>
                  <w:rStyle w:val="Hyperlink"/>
                  <w:rFonts w:ascii="Times New Roman" w:hAnsi="Times New Roman" w:cs="Times New Roman"/>
                  <w:sz w:val="24"/>
                  <w:szCs w:val="24"/>
                </w:rPr>
                <w:t>Recommendation ITU-T Y.2772 “Mechanisms for the network elements with support of deep packet inspection”</w:t>
              </w:r>
            </w:hyperlink>
            <w:r w:rsidR="00A11163" w:rsidRPr="004567E2">
              <w:rPr>
                <w:rFonts w:ascii="Times New Roman" w:hAnsi="Times New Roman" w:cs="Times New Roman"/>
                <w:sz w:val="24"/>
                <w:szCs w:val="24"/>
              </w:rPr>
              <w:t xml:space="preserve"> provides mechanisms for the network elements supporting deep packet inspection (DPI), including the procedures and methods aspects of deep packet inspection (DPI) with respect to packet based networks. This Recommendation serves to assist in the understanding of DPI related methods, interfaces, protocols, procedures aspects and process aspects of DPI-related products.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92" w:history="1">
              <w:r w:rsidR="00A11163" w:rsidRPr="004567E2">
                <w:rPr>
                  <w:rStyle w:val="Hyperlink"/>
                  <w:rFonts w:ascii="Times New Roman" w:hAnsi="Times New Roman" w:cs="Times New Roman"/>
                  <w:sz w:val="24"/>
                  <w:szCs w:val="24"/>
                </w:rPr>
                <w:t>Recommendation ITU-T Y.2773 “Performance models and metrics for deep packet inspection”</w:t>
              </w:r>
            </w:hyperlink>
            <w:r w:rsidR="00A11163" w:rsidRPr="004567E2">
              <w:rPr>
                <w:rFonts w:ascii="Times New Roman" w:hAnsi="Times New Roman" w:cs="Times New Roman"/>
                <w:sz w:val="24"/>
                <w:szCs w:val="24"/>
              </w:rPr>
              <w:t xml:space="preserve"> specifies the performance models and metrics for deep packet inspection in evolving networks.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A11163" w:rsidP="00A11163">
            <w:pPr>
              <w:widowControl w:val="0"/>
              <w:rPr>
                <w:rFonts w:ascii="Times New Roman" w:hAnsi="Times New Roman" w:cs="Times New Roman"/>
                <w:sz w:val="24"/>
                <w:szCs w:val="24"/>
              </w:rPr>
            </w:pPr>
            <w:r w:rsidRPr="004567E2">
              <w:rPr>
                <w:rFonts w:ascii="Times New Roman" w:hAnsi="Times New Roman" w:cs="Times New Roman"/>
                <w:i/>
                <w:iCs/>
                <w:sz w:val="24"/>
                <w:szCs w:val="24"/>
              </w:rPr>
              <w:t>Recommendation ITU-T Y.2774 “Functional requirements of deep packet inspection for future networks” (under approval) specifies the functional requirements of deep packet inspection for future networks (i.e., software defined network, network function virtualization etc.). The scope of this Recommendation includes general requirements of deep packet inspection for future networks, DPI functional requirements for SDN, DPI functional requirements for NFV, DPI functional requirements for service function chain and DPI as a service, DPI functional requirements for network virtualization and DPI functional requirements for evolving mobile network.</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A11163" w:rsidP="00A11163">
            <w:pPr>
              <w:widowControl w:val="0"/>
              <w:rPr>
                <w:rFonts w:ascii="Times New Roman" w:hAnsi="Times New Roman" w:cs="Times New Roman"/>
                <w:iCs/>
                <w:sz w:val="24"/>
                <w:szCs w:val="24"/>
              </w:rPr>
            </w:pPr>
            <w:r w:rsidRPr="004567E2">
              <w:rPr>
                <w:rFonts w:ascii="Times New Roman" w:hAnsi="Times New Roman" w:cs="Times New Roman"/>
                <w:iCs/>
                <w:sz w:val="24"/>
                <w:szCs w:val="24"/>
              </w:rPr>
              <w:t>Recommendation ITU-T Y.2815 “Mobility supporting architecture for mobile Peer to Peer service in heterogeneous wireless networks” (under approval) specifies the mobility supporting architecture required for mobile P2P services in heterogeneous networks including cellular networks, WiMAX and WLAN. It covers the aspects related to functional requirements, and architecture, high-level information flows and security considerations for mobile P2P users.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93" w:history="1">
              <w:r w:rsidR="00A11163" w:rsidRPr="004567E2">
                <w:rPr>
                  <w:rStyle w:val="Hyperlink"/>
                  <w:rFonts w:ascii="Times New Roman" w:hAnsi="Times New Roman" w:cs="Times New Roman"/>
                  <w:sz w:val="24"/>
                  <w:szCs w:val="24"/>
                </w:rPr>
                <w:t>Recommendation ITU-T Y.3051 “The basic principles of trusted environment in ICT infrastructure”</w:t>
              </w:r>
            </w:hyperlink>
            <w:r w:rsidR="00A11163" w:rsidRPr="004567E2">
              <w:rPr>
                <w:rFonts w:ascii="Times New Roman" w:hAnsi="Times New Roman" w:cs="Times New Roman"/>
                <w:sz w:val="24"/>
                <w:szCs w:val="24"/>
              </w:rPr>
              <w:t xml:space="preserve"> is devoted to the issue of creating trusted environment in ICT infrastructure providing information and communication services. The Recommendation provides the definition, common requirements and the basic principles of creating trusted environment.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94" w:history="1">
              <w:r w:rsidR="00A11163" w:rsidRPr="004567E2">
                <w:rPr>
                  <w:rStyle w:val="Hyperlink"/>
                  <w:rFonts w:ascii="Times New Roman" w:hAnsi="Times New Roman" w:cs="Times New Roman"/>
                  <w:sz w:val="24"/>
                  <w:szCs w:val="24"/>
                </w:rPr>
                <w:t>Recommendation ITU-T Y.3052 “Overview of trust provisioning for ICT infrastructures and services”</w:t>
              </w:r>
            </w:hyperlink>
            <w:r w:rsidR="00A11163" w:rsidRPr="004567E2">
              <w:rPr>
                <w:rFonts w:ascii="Times New Roman" w:hAnsi="Times New Roman" w:cs="Times New Roman"/>
                <w:sz w:val="24"/>
                <w:szCs w:val="24"/>
              </w:rPr>
              <w:t xml:space="preserve"> provides an overview of trust provisioning in ICT infrastructures and services. It introduces necessity of trust to cope with potential risks due to lack of trust. The concept of trust provisioning is explained on the trusted ICT infrastructures and services. From the general concept of trust, the key characteristics of trust are described. In addition, the trust relationship model and </w:t>
            </w:r>
            <w:r w:rsidR="00A11163" w:rsidRPr="004567E2">
              <w:rPr>
                <w:rFonts w:ascii="Times New Roman" w:hAnsi="Times New Roman" w:cs="Times New Roman"/>
                <w:sz w:val="24"/>
                <w:szCs w:val="24"/>
              </w:rPr>
              <w:lastRenderedPageBreak/>
              <w:t>trust evaluation based on the conceptual model of trust provisioning are introduced. Finally, it describes trust provisioning processes in ICT infrastructures and services.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95" w:history="1">
              <w:r w:rsidR="00A11163" w:rsidRPr="004567E2">
                <w:rPr>
                  <w:rStyle w:val="Hyperlink"/>
                  <w:rFonts w:ascii="Times New Roman" w:hAnsi="Times New Roman" w:cs="Times New Roman"/>
                  <w:sz w:val="24"/>
                  <w:szCs w:val="24"/>
                </w:rPr>
                <w:t>Recommendation ITU-T Y.3053 “Framework of trustworthy networking with trust-centric network domains”</w:t>
              </w:r>
            </w:hyperlink>
            <w:r w:rsidR="00A11163" w:rsidRPr="004567E2">
              <w:rPr>
                <w:rFonts w:ascii="Times New Roman" w:hAnsi="Times New Roman" w:cs="Times New Roman"/>
                <w:sz w:val="24"/>
                <w:szCs w:val="24"/>
              </w:rPr>
              <w:t xml:space="preserve"> introduces a framework of trustworthy networking with trust-centric network domains. It describes a trustworthy networking conceptual model that includes features of identification, trust evaluation and trustworthy communication. For a solution of trustworthy networking, the extension of the conceptual model into a concept of trust-centric network domains should be done. With the described concept, this draft Recommendation specifies high-level and functional requirements, a functional architecture, and scalability of trustworthy networking with trust-centric network domains.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A11163" w:rsidP="00A11163">
            <w:pPr>
              <w:widowControl w:val="0"/>
              <w:rPr>
                <w:rStyle w:val="Hyperlink"/>
                <w:rFonts w:ascii="Times New Roman" w:hAnsi="Times New Roman" w:cs="Times New Roman"/>
                <w:sz w:val="24"/>
                <w:szCs w:val="24"/>
              </w:rPr>
            </w:pPr>
            <w:r w:rsidRPr="004567E2">
              <w:rPr>
                <w:rStyle w:val="Hyperlink"/>
                <w:rFonts w:ascii="Times New Roman" w:hAnsi="Times New Roman" w:cs="Times New Roman"/>
                <w:sz w:val="24"/>
                <w:szCs w:val="24"/>
              </w:rPr>
              <w:t xml:space="preserve">Recommendation ITU-T Y.3053 (2018) Amd.1 “Framework of trustworthy networking with trust-centric network domains: Amendment 1 - Trustworthy networking deployment architecture and procedures” </w:t>
            </w:r>
            <w:r w:rsidRPr="004567E2">
              <w:rPr>
                <w:rFonts w:ascii="Times New Roman" w:hAnsi="Times New Roman" w:cs="Times New Roman"/>
                <w:sz w:val="24"/>
                <w:szCs w:val="24"/>
              </w:rPr>
              <w:t>(under approval) contains modifications to add trustworthy networking deployment architecture and procedures for IP networks in the Internet.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96" w:history="1">
              <w:r w:rsidR="00A11163" w:rsidRPr="004567E2">
                <w:rPr>
                  <w:rStyle w:val="Hyperlink"/>
                  <w:rFonts w:ascii="Times New Roman" w:hAnsi="Times New Roman" w:cs="Times New Roman"/>
                  <w:sz w:val="24"/>
                  <w:szCs w:val="24"/>
                </w:rPr>
                <w:t>Recommendation ITU-T Y.3054 “Framework of trust-based media services”</w:t>
              </w:r>
            </w:hyperlink>
            <w:r w:rsidR="00A11163" w:rsidRPr="004567E2">
              <w:rPr>
                <w:rFonts w:ascii="Times New Roman" w:hAnsi="Times New Roman" w:cs="Times New Roman"/>
                <w:sz w:val="24"/>
                <w:szCs w:val="24"/>
              </w:rPr>
              <w:t xml:space="preserve"> provides a framework for trust-based media services. It identifies inherent risks in existing media services and describes the necessity of trust-based media services. After identifying functional requirements, it describes components and a functional architecture for trust-based media services. Finally, trust-based content consumption and sharing services are introduced along with a trust analysis mechanism for trust-based media services.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97" w:history="1">
              <w:r w:rsidR="00A11163" w:rsidRPr="004567E2">
                <w:rPr>
                  <w:rStyle w:val="Hyperlink"/>
                  <w:rFonts w:ascii="Times New Roman" w:hAnsi="Times New Roman" w:cs="Times New Roman"/>
                  <w:sz w:val="24"/>
                  <w:szCs w:val="24"/>
                </w:rPr>
                <w:t>ITU-T Y.3071 “Data Aware Networking (Information Centric Networking) - Requirements and Capabilities”</w:t>
              </w:r>
            </w:hyperlink>
            <w:r w:rsidR="00A11163" w:rsidRPr="004567E2">
              <w:rPr>
                <w:rFonts w:ascii="Times New Roman" w:hAnsi="Times New Roman" w:cs="Times New Roman"/>
                <w:sz w:val="24"/>
                <w:szCs w:val="24"/>
              </w:rPr>
              <w:t xml:space="preserve"> specifies the requirements and capabilities of data aware networking (DAN) to realize the use cases and scenarios described in ITU-T Supplement 35 to Recommendation Y.3033, Data aware networking – Scenarios and use cases, which are expected to be major applications/services provided on </w:t>
            </w:r>
            <w:r w:rsidR="00A11163" w:rsidRPr="004567E2">
              <w:rPr>
                <w:rFonts w:ascii="Times New Roman" w:hAnsi="Times New Roman" w:cs="Times New Roman"/>
                <w:sz w:val="24"/>
                <w:szCs w:val="24"/>
              </w:rPr>
              <w:lastRenderedPageBreak/>
              <w:t>DAN. One of the objectives reflecting emerging requirements for future networks (FNs) is data awareness as specified in ITU-T Recommendation Y.3001 – Future networks: Objectives and design goals. DAN is expected to have capabilities optimized to handle enormous amount of data and to enable users to access desired data safely, easily, quickly, and accurately, regardless of their location by making information the destination of request delivery. DAN can be rephrased as the networking whose central concern is retrieving information, i.e., information centric networking (ICN).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98" w:tooltip="Information technology — Cloud computing - Reference architecture" w:history="1">
              <w:r w:rsidR="00A11163" w:rsidRPr="004567E2">
                <w:rPr>
                  <w:rStyle w:val="Hyperlink"/>
                  <w:rFonts w:ascii="Times New Roman" w:hAnsi="Times New Roman" w:cs="Times New Roman"/>
                  <w:sz w:val="24"/>
                  <w:szCs w:val="24"/>
                </w:rPr>
                <w:t>Recommendation ITU-T Y.3502 “Information technology — Cloud computing - Reference architecture</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provides the reference architecture for cloud computing, which includes the cloud computing roles, cloud computing activities, and the cloud computing functional components and their relationships.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299" w:history="1">
              <w:r w:rsidR="00A11163" w:rsidRPr="004567E2">
                <w:rPr>
                  <w:rStyle w:val="Hyperlink"/>
                  <w:rFonts w:ascii="Times New Roman" w:hAnsi="Times New Roman" w:cs="Times New Roman"/>
                  <w:sz w:val="24"/>
                  <w:szCs w:val="24"/>
                </w:rPr>
                <w:t>Recommendation ITU-T Y.3505 “Cloud computing - Overview and functional requirements for data storage federation”</w:t>
              </w:r>
            </w:hyperlink>
            <w:r w:rsidR="00A11163" w:rsidRPr="004567E2">
              <w:rPr>
                <w:rFonts w:ascii="Times New Roman" w:hAnsi="Times New Roman" w:cs="Times New Roman"/>
                <w:sz w:val="24"/>
                <w:szCs w:val="24"/>
              </w:rPr>
              <w:t xml:space="preserve"> provides overview and functional requirements of data storage federation. Data storage federation provides a single virtual volume from multiple data sources in heterogeneous storages. In this Recommendation, configuration for logical components, and ecosystem of data storage federation as well as cloud computing based data storage federation are introduced for data storage federation. Functional requirements are derived from use cases.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00" w:history="1">
              <w:r w:rsidR="00A11163" w:rsidRPr="004567E2">
                <w:rPr>
                  <w:rStyle w:val="Hyperlink"/>
                  <w:rFonts w:ascii="Times New Roman" w:hAnsi="Times New Roman" w:cs="Times New Roman"/>
                  <w:sz w:val="24"/>
                  <w:szCs w:val="24"/>
                </w:rPr>
                <w:t>Recommendation ITU-T Y.3506 “Cloud computing - Functional requirements for cloud service brokerage”</w:t>
              </w:r>
            </w:hyperlink>
            <w:r w:rsidR="00A11163" w:rsidRPr="004567E2">
              <w:rPr>
                <w:rFonts w:ascii="Times New Roman" w:hAnsi="Times New Roman" w:cs="Times New Roman"/>
                <w:sz w:val="24"/>
                <w:szCs w:val="24"/>
              </w:rPr>
              <w:t xml:space="preserve"> provides functional requirements of cloud service brokerage. To provide functional requirements for the cloud service brokerage, this Recommendation specifies the overview including service model and configuration of the cloud service brokerage. Various use cases are also identified to derive the functional requirements.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A11163" w:rsidP="00A11163">
            <w:pPr>
              <w:widowControl w:val="0"/>
              <w:rPr>
                <w:rStyle w:val="Hyperlink"/>
                <w:rFonts w:ascii="Times New Roman" w:hAnsi="Times New Roman" w:cs="Times New Roman"/>
                <w:sz w:val="24"/>
                <w:szCs w:val="24"/>
              </w:rPr>
            </w:pPr>
            <w:r w:rsidRPr="004567E2">
              <w:rPr>
                <w:rStyle w:val="Hyperlink"/>
                <w:rFonts w:ascii="Times New Roman" w:hAnsi="Times New Roman" w:cs="Times New Roman"/>
                <w:sz w:val="24"/>
                <w:szCs w:val="24"/>
              </w:rPr>
              <w:t xml:space="preserve">Recommendation ITU-T Y.3507 “Cloud computing - Functional requirements of physical machine” </w:t>
            </w:r>
            <w:r w:rsidRPr="004567E2">
              <w:rPr>
                <w:rFonts w:ascii="Times New Roman" w:hAnsi="Times New Roman" w:cs="Times New Roman"/>
                <w:sz w:val="24"/>
                <w:szCs w:val="24"/>
              </w:rPr>
              <w:t xml:space="preserve">(under approval) provides the introduction of physical machine with physical machine components, physical machine types, virtualizations in </w:t>
            </w:r>
            <w:r w:rsidRPr="004567E2">
              <w:rPr>
                <w:rFonts w:ascii="Times New Roman" w:hAnsi="Times New Roman" w:cs="Times New Roman"/>
                <w:sz w:val="24"/>
                <w:szCs w:val="24"/>
              </w:rPr>
              <w:lastRenderedPageBreak/>
              <w:t>physical machine as well as the scalability of components in physical machine. Also, the Recommendation provides functional requirements for physical machine derived from various use cases are described in Appendix. The relationship with other related specifications developed in other SDOs has also been introduced as Appendix.</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01" w:tooltip="Cloud computing infrastructure requirements" w:history="1">
              <w:r w:rsidR="00A11163" w:rsidRPr="004567E2">
                <w:rPr>
                  <w:rStyle w:val="Hyperlink"/>
                  <w:rFonts w:ascii="Times New Roman" w:hAnsi="Times New Roman" w:cs="Times New Roman"/>
                  <w:sz w:val="24"/>
                  <w:szCs w:val="24"/>
                </w:rPr>
                <w:t>Recommendation ITU-T Y.3510 “Cloud computing infrastructure requirements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provides requirements for cloud computing infrastructure; these include the essential capabilities for processing, storage and networking resources, as well as the capabilities of resource abstraction and control.</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02" w:tooltip="Framework of inter-cloud computing" w:history="1">
              <w:r w:rsidR="00A11163" w:rsidRPr="004567E2">
                <w:rPr>
                  <w:rStyle w:val="Hyperlink"/>
                  <w:rFonts w:ascii="Times New Roman" w:hAnsi="Times New Roman" w:cs="Times New Roman"/>
                  <w:sz w:val="24"/>
                  <w:szCs w:val="24"/>
                </w:rPr>
                <w:t>Recommendation ITU-T Y.3511 “Framework of inter-cloud computing</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describes the framework for interactions of multiple cloud service providers (CSPs), which is referred to as inter-cloud computing. Based on several use case, and after considering the different types of service offerings, this Recommendation describes the possible relationships (peering, federation or intermediary) among multiple CSPs. By introducing the concept of primary CSP and secondary CSP, the Recommendation further describes CSP interactions for the cases of federation and intermediary patterns. Finally, relevant functional requirements are derived.</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03" w:tooltip="Cloud computing - Functional requirements of Infrastructure as a Service" w:history="1">
              <w:r w:rsidR="00A11163" w:rsidRPr="004567E2">
                <w:rPr>
                  <w:rStyle w:val="Hyperlink"/>
                  <w:rFonts w:ascii="Times New Roman" w:hAnsi="Times New Roman" w:cs="Times New Roman"/>
                  <w:sz w:val="24"/>
                  <w:szCs w:val="24"/>
                </w:rPr>
                <w:t>Recommendation ITU-T Y.3513 “Cloud computing - Functional requirements of Infrastructure as a Service</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introduces the concept of Infrastructure as a Service (IaaS) and describes its functional requirements. As one of the cloud computing service categories, Infrastructure as a Service provides cloud service customers with computing, storage and network services by cloud service providers. To derive those requirements, relevant use cases are also presented.</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04" w:history="1">
              <w:r w:rsidR="00A11163" w:rsidRPr="004567E2">
                <w:rPr>
                  <w:rStyle w:val="Hyperlink"/>
                  <w:rFonts w:ascii="Times New Roman" w:hAnsi="Times New Roman" w:cs="Times New Roman"/>
                  <w:sz w:val="24"/>
                  <w:szCs w:val="24"/>
                </w:rPr>
                <w:t>Recommendation ITU-T Y.3514 “Cloud computing - Trusted inter-cloud computing framework and requirements”</w:t>
              </w:r>
            </w:hyperlink>
            <w:r w:rsidR="00A11163" w:rsidRPr="004567E2">
              <w:rPr>
                <w:rFonts w:ascii="Times New Roman" w:hAnsi="Times New Roman" w:cs="Times New Roman"/>
                <w:sz w:val="24"/>
                <w:szCs w:val="24"/>
              </w:rPr>
              <w:t xml:space="preserve"> specifies a framework of trusted inter-cloud computing and relevant use cases. It provides general requirements for trusted inter-cloud and specific ones related to governance, management, resiliency and security and confidentiality of trusted inter-cloud.</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05" w:history="1">
              <w:r w:rsidR="00A11163" w:rsidRPr="004567E2">
                <w:rPr>
                  <w:rStyle w:val="Hyperlink"/>
                  <w:rFonts w:ascii="Times New Roman" w:hAnsi="Times New Roman" w:cs="Times New Roman"/>
                  <w:sz w:val="24"/>
                  <w:szCs w:val="24"/>
                </w:rPr>
                <w:t xml:space="preserve">Recommendation ITU-T Y.3515 “Cloud computing - Functional architecture of </w:t>
              </w:r>
              <w:r w:rsidR="00A11163" w:rsidRPr="004567E2">
                <w:rPr>
                  <w:rStyle w:val="Hyperlink"/>
                  <w:rFonts w:ascii="Times New Roman" w:hAnsi="Times New Roman" w:cs="Times New Roman"/>
                  <w:sz w:val="24"/>
                  <w:szCs w:val="24"/>
                </w:rPr>
                <w:lastRenderedPageBreak/>
                <w:t>Network as a Service”</w:t>
              </w:r>
            </w:hyperlink>
            <w:r w:rsidR="00A11163" w:rsidRPr="004567E2">
              <w:rPr>
                <w:rFonts w:ascii="Times New Roman" w:hAnsi="Times New Roman" w:cs="Times New Roman"/>
                <w:sz w:val="24"/>
                <w:szCs w:val="24"/>
              </w:rPr>
              <w:t xml:space="preserve"> provides a Network as a Service (NaaS) functional architecture by specifying functionalities and functional components as well as reference points for Operation Support System (OSS). This Recommendation also describes the mapping between functionalities and functional requirements of NaaS, relationship between NaaS functional architecture and Software-Defined Networking (SDN), and illustrated usage of SDN and Network Functions Virtualisation (NFV) in support of NaaS architecture.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06" w:history="1">
              <w:r w:rsidR="00A11163" w:rsidRPr="004567E2">
                <w:rPr>
                  <w:rStyle w:val="Hyperlink"/>
                  <w:rFonts w:ascii="Times New Roman" w:hAnsi="Times New Roman" w:cs="Times New Roman"/>
                  <w:sz w:val="24"/>
                  <w:szCs w:val="24"/>
                </w:rPr>
                <w:t>Recommendation ITU-T Y.3516 “Cloud computing - Functional architecture of inter-cloud computing”</w:t>
              </w:r>
            </w:hyperlink>
            <w:r w:rsidR="00A11163" w:rsidRPr="004567E2">
              <w:rPr>
                <w:rFonts w:ascii="Times New Roman" w:hAnsi="Times New Roman" w:cs="Times New Roman"/>
                <w:sz w:val="24"/>
                <w:szCs w:val="24"/>
              </w:rPr>
              <w:t xml:space="preserve"> specifies inter-cloud computing functional architecture, including functions and functional components, based on the inter-cloud computing framework specified in ITU-T Y.3511. The Recommendation builds upon the functional view of the cloud computing reference architecture ITU-T Y.3502 and makes extensions to functional components with inter-cloud functions. This Recommendation also describes the mapping between functions and functional requirements of inter-cloud computing and examples of inter-cloud related reference points.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A11163" w:rsidP="00A11163">
            <w:pPr>
              <w:widowControl w:val="0"/>
              <w:rPr>
                <w:rStyle w:val="Hyperlink"/>
                <w:rFonts w:ascii="Times New Roman" w:hAnsi="Times New Roman" w:cs="Times New Roman"/>
                <w:sz w:val="24"/>
                <w:szCs w:val="24"/>
              </w:rPr>
            </w:pPr>
            <w:r w:rsidRPr="004567E2">
              <w:rPr>
                <w:rStyle w:val="Hyperlink"/>
                <w:rFonts w:ascii="Times New Roman" w:hAnsi="Times New Roman" w:cs="Times New Roman"/>
                <w:sz w:val="24"/>
                <w:szCs w:val="24"/>
              </w:rPr>
              <w:t xml:space="preserve">Recommendation ITU-T Y.3517 “Cloud computing - Overview of inter-cloud trust management” </w:t>
            </w:r>
            <w:r w:rsidRPr="004567E2">
              <w:rPr>
                <w:rFonts w:ascii="Times New Roman" w:hAnsi="Times New Roman" w:cs="Times New Roman"/>
                <w:sz w:val="24"/>
                <w:szCs w:val="24"/>
              </w:rPr>
              <w:t>(under approval) provides an overview of inter-cloud trust management by specifying isolation and security management mechanism, inter-cloud trust management model, reputation-based trust management in inter-cloud environment, cloud service evaluation framework and the relationship with cloud computing reference architecture. It also provides requirements for inter-cloud trust management derived from the corresponding use cases.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A11163" w:rsidP="00A11163">
            <w:pPr>
              <w:widowControl w:val="0"/>
              <w:rPr>
                <w:rStyle w:val="Hyperlink"/>
                <w:rFonts w:ascii="Times New Roman" w:hAnsi="Times New Roman" w:cs="Times New Roman"/>
                <w:sz w:val="24"/>
                <w:szCs w:val="24"/>
              </w:rPr>
            </w:pPr>
            <w:r w:rsidRPr="004567E2">
              <w:rPr>
                <w:rStyle w:val="Hyperlink"/>
                <w:rFonts w:ascii="Times New Roman" w:hAnsi="Times New Roman" w:cs="Times New Roman"/>
                <w:sz w:val="24"/>
                <w:szCs w:val="24"/>
              </w:rPr>
              <w:t xml:space="preserve">Recommendation ITU-T Y.3518 “Cloud computing - functional requirements of inter-cloud data management” </w:t>
            </w:r>
            <w:r w:rsidRPr="004567E2">
              <w:rPr>
                <w:rStyle w:val="Hyperlink"/>
                <w:rFonts w:ascii="Times New Roman" w:hAnsi="Times New Roman" w:cs="Times New Roman"/>
                <w:color w:val="auto"/>
                <w:sz w:val="24"/>
                <w:szCs w:val="24"/>
                <w:u w:val="none"/>
              </w:rPr>
              <w:t>(under approval) provides the overview of inter-cloud data management and its functional requirements. It describes the typical use cases and specifies the functional requirements on three aspects, ranging from inter-cloud data policy, inter-cloud data isolation and protection, inter-cloud data management which are derived from the corresponding use cases.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A11163" w:rsidP="00A11163">
            <w:pPr>
              <w:widowControl w:val="0"/>
              <w:rPr>
                <w:rStyle w:val="Hyperlink"/>
                <w:rFonts w:ascii="Times New Roman" w:hAnsi="Times New Roman" w:cs="Times New Roman"/>
                <w:sz w:val="24"/>
                <w:szCs w:val="24"/>
              </w:rPr>
            </w:pPr>
            <w:r w:rsidRPr="004567E2">
              <w:rPr>
                <w:rStyle w:val="Hyperlink"/>
                <w:rFonts w:ascii="Times New Roman" w:hAnsi="Times New Roman" w:cs="Times New Roman"/>
                <w:sz w:val="24"/>
                <w:szCs w:val="24"/>
              </w:rPr>
              <w:t xml:space="preserve">Recommendation ITU-T Y.3519 “Cloud computing - Functional architecture of Big Data as a Service” </w:t>
            </w:r>
            <w:r w:rsidRPr="004567E2">
              <w:rPr>
                <w:rStyle w:val="Hyperlink"/>
                <w:rFonts w:ascii="Times New Roman" w:hAnsi="Times New Roman" w:cs="Times New Roman"/>
                <w:color w:val="auto"/>
                <w:sz w:val="24"/>
                <w:szCs w:val="24"/>
                <w:u w:val="none"/>
              </w:rPr>
              <w:t>(under approval) describes the functional architecture for big data as a service (BDaaS). The functional architecture is defined on the basis of the analysis of requirements and activities of cloud computing based big data described in ITU-T Y.3600. Following the methodology of ITU-T Y.3502, the BDaaS functional architecture is described from a set of functional components and cross-cutting aspects. The specified functional components consist of sets of functions that are required to perform the BDaaS activities for the roles and sub-roles described in ITU-T Y.3600.</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07" w:tooltip=" End-to-end cloud service lifecycle management requirements" w:history="1">
              <w:r w:rsidR="00A11163" w:rsidRPr="004567E2">
                <w:rPr>
                  <w:rStyle w:val="Hyperlink"/>
                  <w:rFonts w:ascii="Times New Roman" w:hAnsi="Times New Roman" w:cs="Times New Roman"/>
                  <w:sz w:val="24"/>
                  <w:szCs w:val="24"/>
                </w:rPr>
                <w:t>Recommendation ITU-T Y.3522 “End-to-end cloud service lifecycle management requirements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describes overview of end-to-end (E2E) cloud service lifecycle management by specifying cloud service lifecycle metadata, cloud service lifecycle management framework, cloud service lifecycle management stages, and relationship with cloud computing reference architecture. It also provides E2E cloud service lifecycle management functional requirements derived from the corresponding typical use cases.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08" w:tooltip="Big data – Cloud computing based requirements and capabilities" w:history="1">
              <w:r w:rsidR="00A11163" w:rsidRPr="004567E2">
                <w:rPr>
                  <w:rStyle w:val="Hyperlink"/>
                  <w:rFonts w:ascii="Times New Roman" w:hAnsi="Times New Roman" w:cs="Times New Roman"/>
                  <w:sz w:val="24"/>
                  <w:szCs w:val="24"/>
                </w:rPr>
                <w:t>Recommendation ITU-T Y.3600 “Big data – Cloud computing based requirements and capabilities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provides requirements, capabilities and use cases of cloud computing based big data as well as its system context. Cloud computing based big data provides the capabilities to collect, store, analyze, visualize and manage varieties of large volume datasets, which cannot be rapidly transferred and analysed using traditional technologies.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09" w:history="1">
              <w:r w:rsidR="00A11163" w:rsidRPr="004567E2">
                <w:rPr>
                  <w:rStyle w:val="Hyperlink"/>
                  <w:rFonts w:ascii="Times New Roman" w:hAnsi="Times New Roman" w:cs="Times New Roman"/>
                  <w:sz w:val="24"/>
                  <w:szCs w:val="24"/>
                </w:rPr>
                <w:t>Recommendation ITU-T Y.3601 “Big data - framework and requirements for data exchange”</w:t>
              </w:r>
            </w:hyperlink>
            <w:r w:rsidR="00A11163" w:rsidRPr="004567E2">
              <w:rPr>
                <w:rFonts w:ascii="Times New Roman" w:hAnsi="Times New Roman" w:cs="Times New Roman"/>
                <w:sz w:val="24"/>
                <w:szCs w:val="24"/>
              </w:rPr>
              <w:t xml:space="preserve"> provides framework to exchange big data. Big data exchange has multiple processes consist of data import and data export within big data ecosystem. Big data exchange is used for exchanging data of multiple types and multiple formats from data source to data target. In this Recommendation, direct and intermediary exchange patters are introduced for big data exchange. Also, for big data exchange, the extended activities of big data ecosystem are provided. </w:t>
            </w:r>
            <w:r w:rsidR="00A11163" w:rsidRPr="004567E2">
              <w:rPr>
                <w:rFonts w:ascii="Times New Roman" w:hAnsi="Times New Roman" w:cs="Times New Roman"/>
                <w:sz w:val="24"/>
                <w:szCs w:val="24"/>
              </w:rPr>
              <w:lastRenderedPageBreak/>
              <w:t>Functional requirements are derived from use cases. In addition this Recommendation provides a description of the activities for the support of big data exchange by extending the activities defined in Recommendation ITU-T Y.3600.</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A11163" w:rsidP="00A11163">
            <w:pPr>
              <w:widowControl w:val="0"/>
              <w:rPr>
                <w:rStyle w:val="Hyperlink"/>
                <w:rFonts w:ascii="Times New Roman" w:hAnsi="Times New Roman" w:cs="Times New Roman"/>
                <w:sz w:val="24"/>
                <w:szCs w:val="24"/>
              </w:rPr>
            </w:pPr>
            <w:r w:rsidRPr="004567E2">
              <w:rPr>
                <w:rStyle w:val="Hyperlink"/>
                <w:rFonts w:ascii="Times New Roman" w:hAnsi="Times New Roman" w:cs="Times New Roman"/>
                <w:sz w:val="24"/>
                <w:szCs w:val="24"/>
              </w:rPr>
              <w:t xml:space="preserve">Recommendation ITU-T Y.3602 “Big data - Functional requirements for data provenance” </w:t>
            </w:r>
            <w:r w:rsidRPr="004567E2">
              <w:rPr>
                <w:rFonts w:ascii="Times New Roman" w:hAnsi="Times New Roman" w:cs="Times New Roman"/>
                <w:sz w:val="24"/>
                <w:szCs w:val="24"/>
              </w:rPr>
              <w:t>(under approval) describes a model and operations for big data provenance. Also, this Recommendation provides the functional requirements for big data service provider (BDSP) to manage big data provenance.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10" w:history="1">
              <w:r w:rsidR="00A11163" w:rsidRPr="004567E2">
                <w:rPr>
                  <w:rStyle w:val="Hyperlink"/>
                  <w:rFonts w:ascii="Times New Roman" w:hAnsi="Times New Roman" w:cs="Times New Roman"/>
                  <w:sz w:val="24"/>
                  <w:szCs w:val="24"/>
                </w:rPr>
                <w:t>Recommendation ITU-T Y.3650 “Framework of big data driven networking”</w:t>
              </w:r>
            </w:hyperlink>
            <w:r w:rsidR="00A11163" w:rsidRPr="004567E2">
              <w:rPr>
                <w:rFonts w:ascii="Times New Roman" w:hAnsi="Times New Roman" w:cs="Times New Roman"/>
                <w:sz w:val="24"/>
                <w:szCs w:val="24"/>
              </w:rPr>
              <w:t xml:space="preserve"> specifies framework of big data driven networking. The scope of this recommendation includes the model architecture of big data driven networking (bDDN), the high-level capabilities of bDDN, the interface capabilities among different planes and layers.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A11163" w:rsidP="00A11163">
            <w:pPr>
              <w:widowControl w:val="0"/>
              <w:rPr>
                <w:rStyle w:val="Hyperlink"/>
                <w:rFonts w:ascii="Times New Roman" w:hAnsi="Times New Roman" w:cs="Times New Roman"/>
                <w:sz w:val="24"/>
                <w:szCs w:val="24"/>
              </w:rPr>
            </w:pPr>
            <w:r w:rsidRPr="004567E2">
              <w:rPr>
                <w:rStyle w:val="Hyperlink"/>
                <w:rFonts w:ascii="Times New Roman" w:hAnsi="Times New Roman" w:cs="Times New Roman"/>
                <w:sz w:val="24"/>
                <w:szCs w:val="24"/>
              </w:rPr>
              <w:t xml:space="preserve">Recommendation ITU-T Y.3651 “Big-data-driven networking - mobile network traffic management and planning” </w:t>
            </w:r>
            <w:r w:rsidRPr="004567E2">
              <w:rPr>
                <w:rStyle w:val="Hyperlink"/>
                <w:rFonts w:ascii="Times New Roman" w:hAnsi="Times New Roman" w:cs="Times New Roman"/>
                <w:color w:val="auto"/>
                <w:sz w:val="24"/>
                <w:szCs w:val="24"/>
                <w:u w:val="none"/>
              </w:rPr>
              <w:t>(under approval) specifies some technology aspects related to big-data-driven networking – mobile network traffic management and planning. The research of this Recommendation includes: requirements, framework, reference points, performance aspects and security considerations of big-data-driven networking – mobile network traffic management and planning.</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311" w:history="1">
              <w:r w:rsidR="00A11163" w:rsidRPr="004567E2">
                <w:rPr>
                  <w:rStyle w:val="Hyperlink"/>
                  <w:rFonts w:ascii="Times New Roman" w:hAnsi="Times New Roman" w:cs="Times New Roman"/>
                  <w:sz w:val="24"/>
                  <w:szCs w:val="24"/>
                </w:rPr>
                <w:t>ITU-T Supplement 46 to ITU-T Y.3500-series “Requirements and Challenges Regarding Provision and Consumption of Cloud Computing Services in Developing Countries”</w:t>
              </w:r>
            </w:hyperlink>
            <w:r w:rsidR="00A11163" w:rsidRPr="004567E2">
              <w:rPr>
                <w:rFonts w:ascii="Times New Roman" w:hAnsi="Times New Roman" w:cs="Times New Roman"/>
                <w:sz w:val="24"/>
                <w:szCs w:val="24"/>
              </w:rPr>
              <w:t xml:space="preserve"> applies to Recommendations ITU-T Y.3500-series. Cloud computing has the potential to alleviate some of the socio-economic challenges being faced in developing countries such as lack of resilient electrical power, lack of Information and Communications Technology (ICT) infrastructure and can also improve service delivery to mention but a few. Emanating from a survey conducted on cloud computing status in developing countries, this supplement highlights the requirements and challenges of cloud computing provision and consumption in developing countries with regards but not limited to standards implementation, data connectivity and infrastructure deployment.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312" w:history="1">
              <w:r w:rsidR="00A11163" w:rsidRPr="004567E2">
                <w:rPr>
                  <w:rStyle w:val="Hyperlink"/>
                  <w:rFonts w:ascii="Times New Roman" w:hAnsi="Times New Roman" w:cs="Times New Roman"/>
                  <w:sz w:val="24"/>
                  <w:szCs w:val="24"/>
                </w:rPr>
                <w:t>Technical Report “Future social media and knowledge society</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focuses on what is the expected and hopefully the knowledge society. It analyses the impacts of the development of digital technologies, the social effects of online connectivity, and the trends of the new ecosystem. It recognizes that the information and communication technology (ICT) is a centre of wind of changes. The future knowledge society will be built on the basis of the ICT infrastructure since it is totally an artificial society created by humans. The ICT infrastructure is not only for the delivery of digital data, but it also provides the eco-platform to share data, information, and knowledge. The new innovative technologies will be developed for the future open and collaborative knowledge society. Therefore, this Technical Paper explains the </w:t>
            </w:r>
            <w:r w:rsidR="00A11163" w:rsidRPr="004567E2">
              <w:rPr>
                <w:rFonts w:ascii="Times New Roman" w:eastAsia="Malgun Gothic" w:hAnsi="Times New Roman" w:cs="Times New Roman"/>
                <w:sz w:val="24"/>
                <w:szCs w:val="24"/>
                <w:lang w:eastAsia="ko-KR"/>
              </w:rPr>
              <w:t>minimization of</w:t>
            </w:r>
            <w:r w:rsidR="00A11163" w:rsidRPr="004567E2">
              <w:rPr>
                <w:rFonts w:ascii="Times New Roman" w:hAnsi="Times New Roman" w:cs="Times New Roman"/>
                <w:sz w:val="24"/>
                <w:szCs w:val="24"/>
              </w:rPr>
              <w:t xml:space="preserve"> the unexpected risks and the </w:t>
            </w:r>
            <w:r w:rsidR="00A11163" w:rsidRPr="004567E2">
              <w:rPr>
                <w:rFonts w:ascii="Times New Roman" w:eastAsia="Malgun Gothic" w:hAnsi="Times New Roman" w:cs="Times New Roman"/>
                <w:sz w:val="24"/>
                <w:szCs w:val="24"/>
                <w:lang w:eastAsia="ko-KR"/>
              </w:rPr>
              <w:t>maximization of</w:t>
            </w:r>
            <w:r w:rsidR="00A11163" w:rsidRPr="004567E2">
              <w:rPr>
                <w:rFonts w:ascii="Times New Roman" w:hAnsi="Times New Roman" w:cs="Times New Roman"/>
                <w:sz w:val="24"/>
                <w:szCs w:val="24"/>
              </w:rPr>
              <w:t xml:space="preserve"> the survivability of the future knowledge society.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313" w:history="1">
              <w:r w:rsidR="00A11163" w:rsidRPr="004567E2">
                <w:rPr>
                  <w:rStyle w:val="Hyperlink"/>
                  <w:rFonts w:ascii="Times New Roman" w:hAnsi="Times New Roman" w:cs="Times New Roman"/>
                  <w:sz w:val="24"/>
                  <w:szCs w:val="24"/>
                </w:rPr>
                <w:t>Technical Report “Requirements for Networks in Africa</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w:t>
            </w:r>
            <w:r w:rsidR="00A11163" w:rsidRPr="004567E2">
              <w:rPr>
                <w:rFonts w:ascii="Times New Roman" w:eastAsia="Malgun Gothic" w:hAnsi="Times New Roman" w:cs="Times New Roman"/>
                <w:sz w:val="24"/>
                <w:szCs w:val="24"/>
                <w:lang w:eastAsia="ko-KR"/>
              </w:rPr>
              <w:t>examines issues of the current status of the African telecommunication networks and the possible future requirements to enable them be able to meet the needs of the African population.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314" w:history="1">
              <w:r w:rsidR="00A11163" w:rsidRPr="004567E2">
                <w:rPr>
                  <w:rStyle w:val="Hyperlink"/>
                  <w:rFonts w:ascii="Times New Roman" w:eastAsia="Malgun Gothic" w:hAnsi="Times New Roman" w:cs="Times New Roman"/>
                  <w:sz w:val="24"/>
                  <w:szCs w:val="24"/>
                  <w:lang w:eastAsia="ko-KR"/>
                </w:rPr>
                <w:t>Technical Report “</w:t>
              </w:r>
              <w:r w:rsidR="00A11163" w:rsidRPr="004567E2">
                <w:rPr>
                  <w:rStyle w:val="Hyperlink"/>
                  <w:rFonts w:ascii="Times New Roman" w:hAnsi="Times New Roman" w:cs="Times New Roman"/>
                  <w:sz w:val="24"/>
                  <w:szCs w:val="24"/>
                </w:rPr>
                <w:t>Migration scenarios from legacy networks to NGN in developing countries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w:t>
            </w:r>
            <w:r w:rsidR="00A11163" w:rsidRPr="004567E2">
              <w:rPr>
                <w:rFonts w:ascii="Times New Roman" w:eastAsia="Times New Roman" w:hAnsi="Times New Roman" w:cs="Times New Roman"/>
                <w:sz w:val="24"/>
                <w:szCs w:val="24"/>
                <w:lang w:eastAsia="ko-KR"/>
              </w:rPr>
              <w:t xml:space="preserve">provides comprehensive knowledge about the legacy networks and NGN including analysis of differences between them. </w:t>
            </w:r>
            <w:r w:rsidR="00A11163" w:rsidRPr="004567E2">
              <w:rPr>
                <w:rFonts w:ascii="Times New Roman" w:eastAsia="Times New Roman" w:hAnsi="Times New Roman" w:cs="Times New Roman"/>
                <w:sz w:val="24"/>
                <w:szCs w:val="24"/>
              </w:rPr>
              <w:t xml:space="preserve">This Technical Paper introduces </w:t>
            </w:r>
            <w:r w:rsidR="00A11163" w:rsidRPr="004567E2">
              <w:rPr>
                <w:rFonts w:ascii="Times New Roman" w:eastAsia="Times New Roman" w:hAnsi="Times New Roman" w:cs="Times New Roman"/>
                <w:sz w:val="24"/>
                <w:szCs w:val="24"/>
                <w:lang w:eastAsia="ko-KR"/>
              </w:rPr>
              <w:t xml:space="preserve">key features of legacy networks and NGN based on ITU-T Recommendations. Based on this, this technical report </w:t>
            </w:r>
            <w:r w:rsidR="00A11163" w:rsidRPr="004567E2">
              <w:rPr>
                <w:rFonts w:ascii="Times New Roman" w:eastAsia="Times New Roman" w:hAnsi="Times New Roman" w:cs="Times New Roman"/>
                <w:sz w:val="24"/>
                <w:szCs w:val="24"/>
              </w:rPr>
              <w:t>analy</w:t>
            </w:r>
            <w:r w:rsidR="00A11163" w:rsidRPr="004567E2">
              <w:rPr>
                <w:rFonts w:ascii="Times New Roman" w:eastAsia="Times New Roman" w:hAnsi="Times New Roman" w:cs="Times New Roman"/>
                <w:sz w:val="24"/>
                <w:szCs w:val="24"/>
                <w:lang w:eastAsia="ko-KR"/>
              </w:rPr>
              <w:t>zes</w:t>
            </w:r>
            <w:r w:rsidR="00A11163" w:rsidRPr="004567E2">
              <w:rPr>
                <w:rFonts w:ascii="Times New Roman" w:eastAsia="Times New Roman" w:hAnsi="Times New Roman" w:cs="Times New Roman"/>
                <w:sz w:val="24"/>
                <w:szCs w:val="24"/>
              </w:rPr>
              <w:t xml:space="preserve"> “Gaps” between legacy networks and NGN in terms of </w:t>
            </w:r>
            <w:r w:rsidR="00A11163" w:rsidRPr="004567E2">
              <w:rPr>
                <w:rFonts w:ascii="Times New Roman" w:eastAsia="Times New Roman" w:hAnsi="Times New Roman" w:cs="Times New Roman"/>
                <w:sz w:val="24"/>
                <w:szCs w:val="24"/>
                <w:lang w:eastAsia="ko-KR"/>
              </w:rPr>
              <w:t xml:space="preserve">services, architectures and technologies </w:t>
            </w:r>
            <w:r w:rsidR="00A11163" w:rsidRPr="004567E2">
              <w:rPr>
                <w:rFonts w:ascii="Times New Roman" w:eastAsia="Times New Roman" w:hAnsi="Times New Roman" w:cs="Times New Roman"/>
                <w:sz w:val="24"/>
                <w:szCs w:val="24"/>
              </w:rPr>
              <w:t xml:space="preserve">used in each networks. Those “Gaps” would be used for identify different </w:t>
            </w:r>
            <w:r w:rsidR="00A11163" w:rsidRPr="004567E2">
              <w:rPr>
                <w:rFonts w:ascii="Times New Roman" w:eastAsia="Times New Roman" w:hAnsi="Times New Roman" w:cs="Times New Roman"/>
                <w:sz w:val="24"/>
                <w:szCs w:val="24"/>
                <w:lang w:eastAsia="ko-KR"/>
              </w:rPr>
              <w:t xml:space="preserve">migration </w:t>
            </w:r>
            <w:r w:rsidR="00A11163" w:rsidRPr="004567E2">
              <w:rPr>
                <w:rFonts w:ascii="Times New Roman" w:eastAsia="Times New Roman" w:hAnsi="Times New Roman" w:cs="Times New Roman"/>
                <w:sz w:val="24"/>
                <w:szCs w:val="24"/>
              </w:rPr>
              <w:t xml:space="preserve">scenarios from legacy networks to NGN. In addition, this Technical Paper </w:t>
            </w:r>
            <w:r w:rsidR="00A11163" w:rsidRPr="004567E2">
              <w:rPr>
                <w:rFonts w:ascii="Times New Roman" w:eastAsia="Times New Roman" w:hAnsi="Times New Roman" w:cs="Times New Roman"/>
                <w:sz w:val="24"/>
                <w:szCs w:val="24"/>
                <w:lang w:eastAsia="ko-KR"/>
              </w:rPr>
              <w:t>addresses</w:t>
            </w:r>
            <w:r w:rsidR="00A11163" w:rsidRPr="004567E2">
              <w:rPr>
                <w:rFonts w:ascii="Times New Roman" w:eastAsia="Times New Roman" w:hAnsi="Times New Roman" w:cs="Times New Roman"/>
                <w:sz w:val="24"/>
                <w:szCs w:val="24"/>
              </w:rPr>
              <w:t xml:space="preserve"> </w:t>
            </w:r>
            <w:r w:rsidR="00A11163" w:rsidRPr="004567E2">
              <w:rPr>
                <w:rFonts w:ascii="Times New Roman" w:eastAsia="Times New Roman" w:hAnsi="Times New Roman" w:cs="Times New Roman"/>
                <w:sz w:val="24"/>
                <w:szCs w:val="24"/>
                <w:lang w:eastAsia="ko-KR"/>
              </w:rPr>
              <w:t>various issues to be c</w:t>
            </w:r>
            <w:r w:rsidR="00A11163" w:rsidRPr="004567E2">
              <w:rPr>
                <w:rFonts w:ascii="Times New Roman" w:eastAsia="Times New Roman" w:hAnsi="Times New Roman" w:cs="Times New Roman"/>
                <w:sz w:val="24"/>
                <w:szCs w:val="24"/>
              </w:rPr>
              <w:t>onsider</w:t>
            </w:r>
            <w:r w:rsidR="00A11163" w:rsidRPr="004567E2">
              <w:rPr>
                <w:rFonts w:ascii="Times New Roman" w:eastAsia="Times New Roman" w:hAnsi="Times New Roman" w:cs="Times New Roman"/>
                <w:sz w:val="24"/>
                <w:szCs w:val="24"/>
                <w:lang w:eastAsia="ko-KR"/>
              </w:rPr>
              <w:t>ed</w:t>
            </w:r>
            <w:r w:rsidR="00A11163" w:rsidRPr="004567E2">
              <w:rPr>
                <w:rFonts w:ascii="Times New Roman" w:eastAsia="Times New Roman" w:hAnsi="Times New Roman" w:cs="Times New Roman"/>
                <w:sz w:val="24"/>
                <w:szCs w:val="24"/>
              </w:rPr>
              <w:t xml:space="preserve"> </w:t>
            </w:r>
            <w:r w:rsidR="00A11163" w:rsidRPr="004567E2">
              <w:rPr>
                <w:rFonts w:ascii="Times New Roman" w:eastAsia="Times New Roman" w:hAnsi="Times New Roman" w:cs="Times New Roman"/>
                <w:sz w:val="24"/>
                <w:szCs w:val="24"/>
                <w:lang w:eastAsia="ko-KR"/>
              </w:rPr>
              <w:t>for the developing countries when initiate migration project and also</w:t>
            </w:r>
            <w:r w:rsidR="00A11163" w:rsidRPr="004567E2">
              <w:rPr>
                <w:rFonts w:ascii="Times New Roman" w:eastAsia="Times New Roman" w:hAnsi="Times New Roman" w:cs="Times New Roman"/>
                <w:sz w:val="24"/>
                <w:szCs w:val="24"/>
              </w:rPr>
              <w:t xml:space="preserve"> for choosing specific types of scenarios.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315" w:tooltip="Terminology for cables" w:history="1">
              <w:r w:rsidR="00A11163" w:rsidRPr="004567E2">
                <w:rPr>
                  <w:rStyle w:val="Hyperlink"/>
                  <w:rFonts w:ascii="Times New Roman" w:hAnsi="Times New Roman" w:cs="Times New Roman"/>
                  <w:sz w:val="24"/>
                  <w:szCs w:val="24"/>
                </w:rPr>
                <w:t>Recommendation ITU-T G.601 “Terminology for cables”</w:t>
              </w:r>
            </w:hyperlink>
            <w:r w:rsidR="00A11163" w:rsidRPr="004567E2">
              <w:rPr>
                <w:rFonts w:ascii="Times New Roman" w:hAnsi="Times New Roman" w:cs="Times New Roman"/>
                <w:sz w:val="24"/>
                <w:szCs w:val="24"/>
              </w:rPr>
              <w:t xml:space="preserve"> defines the terminology for cables.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Style w:val="Hyperlink"/>
                <w:rFonts w:ascii="Times New Roman" w:hAnsi="Times New Roman" w:cs="Times New Roman"/>
                <w:sz w:val="24"/>
                <w:szCs w:val="24"/>
              </w:rPr>
            </w:pPr>
            <w:hyperlink r:id="rId316" w:tooltip="Reliability and availability of analogue cable transmission systems and associated equipments" w:history="1">
              <w:r w:rsidR="00A11163" w:rsidRPr="004567E2">
                <w:rPr>
                  <w:rStyle w:val="Hyperlink"/>
                  <w:rFonts w:ascii="Times New Roman" w:hAnsi="Times New Roman" w:cs="Times New Roman"/>
                  <w:sz w:val="24"/>
                  <w:szCs w:val="24"/>
                </w:rPr>
                <w:t>Recommendation ITU-T G.602 “Reliability and availability of analogue cable transmission systems and associated equipments”</w:t>
              </w:r>
            </w:hyperlink>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317" w:history="1">
              <w:r w:rsidR="00A11163" w:rsidRPr="004567E2">
                <w:rPr>
                  <w:rStyle w:val="Hyperlink"/>
                  <w:rFonts w:ascii="Times New Roman" w:hAnsi="Times New Roman" w:cs="Times New Roman"/>
                  <w:sz w:val="24"/>
                  <w:szCs w:val="24"/>
                </w:rPr>
                <w:t>Recommendation ITU-T G.611 “Characteristics of symmetric cable pairs for analogue transmission”</w:t>
              </w:r>
            </w:hyperlink>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18" w:history="1">
              <w:r w:rsidR="00A11163" w:rsidRPr="004567E2">
                <w:rPr>
                  <w:rStyle w:val="Hyperlink"/>
                  <w:rFonts w:ascii="Times New Roman" w:hAnsi="Times New Roman" w:cs="Times New Roman"/>
                  <w:sz w:val="24"/>
                  <w:szCs w:val="24"/>
                </w:rPr>
                <w:t>Recommendation ITU-T G.612 “Characteristics of symmetric cable pairs designed for the transmission of systems with bit rates of the order of 6 to 34 Mbit/s”</w:t>
              </w:r>
            </w:hyperlink>
            <w:r w:rsidR="00A11163" w:rsidRPr="004567E2">
              <w:rPr>
                <w:rFonts w:ascii="Times New Roman" w:hAnsi="Times New Roman" w:cs="Times New Roman"/>
                <w:sz w:val="24"/>
                <w:szCs w:val="24"/>
              </w:rPr>
              <w:t xml:space="preserve"> </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19" w:history="1">
              <w:r w:rsidR="00A11163" w:rsidRPr="004567E2">
                <w:rPr>
                  <w:rStyle w:val="Hyperlink"/>
                  <w:rFonts w:ascii="Times New Roman" w:hAnsi="Times New Roman" w:cs="Times New Roman"/>
                  <w:sz w:val="24"/>
                  <w:szCs w:val="24"/>
                </w:rPr>
                <w:t>Recommendation ITU-T G.613 “Characteristics of symmetric cable pairs usable wholly for the transmission of digital systems with a bit rate of up to 2 Mbit/s”</w:t>
              </w:r>
            </w:hyperlink>
            <w:r w:rsidR="00A11163" w:rsidRPr="004567E2">
              <w:rPr>
                <w:rFonts w:ascii="Times New Roman" w:hAnsi="Times New Roman" w:cs="Times New Roman"/>
                <w:sz w:val="24"/>
                <w:szCs w:val="24"/>
              </w:rPr>
              <w:t xml:space="preserve"> </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20" w:history="1">
              <w:r w:rsidR="00A11163" w:rsidRPr="004567E2">
                <w:rPr>
                  <w:rStyle w:val="Hyperlink"/>
                  <w:rFonts w:ascii="Times New Roman" w:hAnsi="Times New Roman" w:cs="Times New Roman"/>
                  <w:sz w:val="24"/>
                  <w:szCs w:val="24"/>
                </w:rPr>
                <w:t>Recommendation ITU-T G.614 “Characteristics of symmetric pair star-quad cables designed earlier for analogue transmission systems and being used now for digital system transmission at bit rates of 6 to 34 Mbit/s”</w:t>
              </w:r>
            </w:hyperlink>
            <w:r w:rsidR="00A11163" w:rsidRPr="004567E2">
              <w:rPr>
                <w:rFonts w:ascii="Times New Roman" w:hAnsi="Times New Roman" w:cs="Times New Roman"/>
                <w:sz w:val="24"/>
                <w:szCs w:val="24"/>
              </w:rPr>
              <w:t xml:space="preserve"> </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321" w:history="1">
              <w:r w:rsidR="00A11163" w:rsidRPr="004567E2">
                <w:rPr>
                  <w:rStyle w:val="Hyperlink"/>
                  <w:rFonts w:ascii="Times New Roman" w:hAnsi="Times New Roman" w:cs="Times New Roman"/>
                  <w:sz w:val="24"/>
                  <w:szCs w:val="24"/>
                </w:rPr>
                <w:t>Recommendation ITU-T G.621 “Characteristics of 0.7/2.9 mm coaxial cable pairs”</w:t>
              </w:r>
            </w:hyperlink>
            <w:r w:rsidR="00A11163" w:rsidRPr="004567E2">
              <w:rPr>
                <w:rFonts w:ascii="Times New Roman" w:hAnsi="Times New Roman" w:cs="Times New Roman"/>
                <w:sz w:val="24"/>
                <w:szCs w:val="24"/>
              </w:rPr>
              <w:t xml:space="preserve"> </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22" w:tooltip="Characteristics of 1.2/4.4 mm coaxial cable pairs" w:history="1">
              <w:r w:rsidR="00A11163" w:rsidRPr="004567E2">
                <w:rPr>
                  <w:rStyle w:val="Hyperlink"/>
                  <w:rFonts w:ascii="Times New Roman" w:hAnsi="Times New Roman" w:cs="Times New Roman"/>
                  <w:sz w:val="24"/>
                  <w:szCs w:val="24"/>
                </w:rPr>
                <w:t>Recommendation ITU-T G.622 “Characteristics of 1.2/4.4 mm coaxial cable pairs”</w:t>
              </w:r>
            </w:hyperlink>
            <w:r w:rsidR="00A11163" w:rsidRPr="004567E2">
              <w:rPr>
                <w:rFonts w:ascii="Times New Roman" w:hAnsi="Times New Roman" w:cs="Times New Roman"/>
                <w:sz w:val="24"/>
                <w:szCs w:val="24"/>
              </w:rPr>
              <w:t xml:space="preserve"> </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323" w:history="1">
              <w:r w:rsidR="00A11163" w:rsidRPr="004567E2">
                <w:rPr>
                  <w:rStyle w:val="Hyperlink"/>
                  <w:rFonts w:ascii="Times New Roman" w:hAnsi="Times New Roman" w:cs="Times New Roman"/>
                  <w:sz w:val="24"/>
                  <w:szCs w:val="24"/>
                </w:rPr>
                <w:t>Recommendation ITU-T G.623 “Characteristics of 2.6/9.5 mm coaxial cable pairs”</w:t>
              </w:r>
            </w:hyperlink>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24" w:tooltip="Types of submarine cable to be used for systems with line frequencies of less than about 45 MHz" w:history="1">
              <w:r w:rsidR="00A11163" w:rsidRPr="004567E2">
                <w:rPr>
                  <w:rStyle w:val="Hyperlink"/>
                  <w:rFonts w:ascii="Times New Roman" w:hAnsi="Times New Roman" w:cs="Times New Roman"/>
                  <w:sz w:val="24"/>
                  <w:szCs w:val="24"/>
                </w:rPr>
                <w:t>Recommendation ITU-T G.631 “Types of submarine cable to be used for systems with line frequencies of less than about 45 MHz</w:t>
              </w:r>
            </w:hyperlink>
            <w:r w:rsidR="00A11163" w:rsidRPr="004567E2">
              <w:rPr>
                <w:rFonts w:ascii="Times New Roman" w:hAnsi="Times New Roman" w:cs="Times New Roman"/>
                <w:sz w:val="24"/>
                <w:szCs w:val="24"/>
              </w:rPr>
              <w:t xml:space="preserve">” </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325" w:history="1">
              <w:r w:rsidR="00A11163" w:rsidRPr="004567E2">
                <w:rPr>
                  <w:rStyle w:val="Hyperlink"/>
                  <w:rFonts w:ascii="Times New Roman" w:hAnsi="Times New Roman" w:cs="Times New Roman"/>
                  <w:sz w:val="24"/>
                  <w:szCs w:val="24"/>
                </w:rPr>
                <w:t>Recommendation ITU-T G.640 “Co-location longitudinally compatible interfaces for free space optical systems”</w:t>
              </w:r>
            </w:hyperlink>
            <w:r w:rsidR="00A11163" w:rsidRPr="004567E2">
              <w:rPr>
                <w:rFonts w:ascii="Times New Roman" w:hAnsi="Times New Roman" w:cs="Times New Roman"/>
                <w:sz w:val="24"/>
                <w:szCs w:val="24"/>
              </w:rPr>
              <w:t xml:space="preserve"> provides a procedure for establishing that two co-located Free Space Optical (FSO) transmission systems will not interfere with each other. Calculations of the conditions required to be met to prevent interference in some examples of co-located FSO systems are also included.</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26" w:history="1">
              <w:r w:rsidR="00A11163" w:rsidRPr="004567E2">
                <w:rPr>
                  <w:rStyle w:val="Hyperlink"/>
                  <w:rFonts w:ascii="Times New Roman" w:hAnsi="Times New Roman" w:cs="Times New Roman"/>
                  <w:sz w:val="24"/>
                  <w:szCs w:val="24"/>
                </w:rPr>
                <w:t>Recommendation ITU-T G.650.1 “Definitions and test methods for linear, deterministic attributes of single-mode fibre and cable”</w:t>
              </w:r>
            </w:hyperlink>
            <w:r w:rsidR="00A11163" w:rsidRPr="004567E2">
              <w:rPr>
                <w:rFonts w:ascii="Times New Roman" w:hAnsi="Times New Roman" w:cs="Times New Roman"/>
                <w:sz w:val="24"/>
                <w:szCs w:val="24"/>
              </w:rPr>
              <w:t xml:space="preserve"> contains definitions of the linear, deterministic parameters of single-mode optical fibres and cables. It also contains both, reference test methods and alternative test methods for characterizing these parameters. These test methods are suitable mainly for factory measurements of the linear, deterministic attributes of single-mode fibres and cables. Some of the test methods may also be used to characterize discrete optical components.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27" w:history="1">
              <w:r w:rsidR="00A11163" w:rsidRPr="004567E2">
                <w:rPr>
                  <w:rStyle w:val="Hyperlink"/>
                  <w:rFonts w:ascii="Times New Roman" w:hAnsi="Times New Roman" w:cs="Times New Roman"/>
                  <w:sz w:val="24"/>
                  <w:szCs w:val="24"/>
                </w:rPr>
                <w:t>Recommendation ITU-T G.650.2 “Definitions and test methods for statistical and non-linear related attributes of single-mode fibre and cable”</w:t>
              </w:r>
            </w:hyperlink>
            <w:r w:rsidR="00A11163" w:rsidRPr="004567E2">
              <w:rPr>
                <w:rFonts w:ascii="Times New Roman" w:hAnsi="Times New Roman" w:cs="Times New Roman"/>
                <w:sz w:val="24"/>
                <w:szCs w:val="24"/>
              </w:rPr>
              <w:t xml:space="preserve"> contains definitions of </w:t>
            </w:r>
            <w:r w:rsidR="00A11163" w:rsidRPr="004567E2">
              <w:rPr>
                <w:rFonts w:ascii="Times New Roman" w:hAnsi="Times New Roman" w:cs="Times New Roman"/>
                <w:sz w:val="24"/>
                <w:szCs w:val="24"/>
              </w:rPr>
              <w:lastRenderedPageBreak/>
              <w:t>the statistical and non-linear parameters of single-mode fibre and cable. It also contains both reference test methods and alternative test methods for characterizing these parameters.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28" w:tooltip="Test methods for installed single-mode optical fibre cable links" w:history="1">
              <w:r w:rsidR="00A11163" w:rsidRPr="004567E2">
                <w:rPr>
                  <w:rStyle w:val="Hyperlink"/>
                  <w:rFonts w:ascii="Times New Roman" w:hAnsi="Times New Roman" w:cs="Times New Roman"/>
                  <w:sz w:val="24"/>
                  <w:szCs w:val="24"/>
                </w:rPr>
                <w:t>Recommendation ITU-T G.650.3 “Test methods for installed single-mode optical fibre cable links”</w:t>
              </w:r>
            </w:hyperlink>
            <w:r w:rsidR="00A11163" w:rsidRPr="004567E2">
              <w:rPr>
                <w:rFonts w:ascii="Times New Roman" w:hAnsi="Times New Roman" w:cs="Times New Roman"/>
                <w:sz w:val="24"/>
                <w:szCs w:val="24"/>
              </w:rPr>
              <w:t xml:space="preserve"> outlines the tests normally carried out on installed single-mode optical fibre cable links. It includes a collection of references to the main measurement methods and gives an indication of which are most suitable for installed cable links, depending on the required inspection level. Optical fibre cable links are comprised of multiple cable sections, splices and other connections. This term is more completely defined in this Recommendation.</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This Recommendation uses a tiered approach. The first level indicates measurements that are normally carried out to commission new optical fibre cable links. The second level indicates measurements that may be carried out to satisfy service level agreements (for example, when a dark fibre contract is signed) or to verify attributes of older links that may be used at higher bit rates or over extended wavelength ranges.</w:t>
            </w:r>
          </w:p>
          <w:p w:rsidR="00A11163" w:rsidRPr="004567E2" w:rsidRDefault="00A11163" w:rsidP="00A11163">
            <w:pPr>
              <w:pStyle w:val="ListParagraph"/>
              <w:ind w:left="0"/>
              <w:contextualSpacing w:val="0"/>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This version of Recommendation ITU-T G.650.3 newly introduces the Appendix IV to provide information of splice loss measurement based on quasi-bidirectional technique. The method for differentiating splice loss and macrobending loss in installed links, which was issued as Amendment 1 for Recommendation G.650.3 in 2011, is also included as Appendix III.</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29" w:tooltip="Characteristics of a 50/125 µm multimode graded index optical fibre cable for the optical access network" w:history="1">
              <w:r w:rsidR="00A11163" w:rsidRPr="004567E2">
                <w:rPr>
                  <w:rStyle w:val="Hyperlink"/>
                  <w:rFonts w:ascii="Times New Roman" w:hAnsi="Times New Roman" w:cs="Times New Roman"/>
                  <w:sz w:val="24"/>
                  <w:szCs w:val="24"/>
                </w:rPr>
                <w:t>Recommendation ITU-T G.651.1 “Characteristics of a 50/125 µm multimode graded index optical fibre cable for the optical access network”</w:t>
              </w:r>
            </w:hyperlink>
            <w:r w:rsidR="00A11163" w:rsidRPr="004567E2">
              <w:rPr>
                <w:rFonts w:ascii="Times New Roman" w:hAnsi="Times New Roman" w:cs="Times New Roman"/>
                <w:sz w:val="24"/>
                <w:szCs w:val="24"/>
              </w:rPr>
              <w:t xml:space="preserve"> recommends a quartz multimode fibre to be used for the access network in specific environments. These environments are multi-tenant building sub-networks in which broadband services have to be delivered to individual apartments. The recommended multimode fibre supports the cost-effective use of 1 Gbit/s Ethernet systems over link lengths up to 550 m, usually based upon the use of 850 nm transceivers. The recommended fibre type is an improved version of the well-known 50/125 µm </w:t>
            </w:r>
            <w:r w:rsidR="00A11163" w:rsidRPr="004567E2">
              <w:rPr>
                <w:rFonts w:ascii="Times New Roman" w:hAnsi="Times New Roman" w:cs="Times New Roman"/>
                <w:sz w:val="24"/>
                <w:szCs w:val="24"/>
              </w:rPr>
              <w:lastRenderedPageBreak/>
              <w:t>multimode graded-index fibre as recommended in ITU-T Recommendation G.651. Its cost effective use is very common in datacom systems applied in enterprise buildings throughout the world for quite a number of years.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30" w:tooltip="Characteristics of a single-mode optical fibre and cable" w:history="1">
              <w:r w:rsidR="00A11163" w:rsidRPr="004567E2">
                <w:rPr>
                  <w:rStyle w:val="Hyperlink"/>
                  <w:rFonts w:ascii="Times New Roman" w:hAnsi="Times New Roman" w:cs="Times New Roman"/>
                  <w:sz w:val="24"/>
                  <w:szCs w:val="24"/>
                </w:rPr>
                <w:t>Recommendation ITU-T G.652 “Characteristics of a single-mode optical fibre and cable”</w:t>
              </w:r>
            </w:hyperlink>
            <w:r w:rsidR="00A11163" w:rsidRPr="004567E2">
              <w:rPr>
                <w:rFonts w:ascii="Times New Roman" w:hAnsi="Times New Roman" w:cs="Times New Roman"/>
                <w:sz w:val="24"/>
                <w:szCs w:val="24"/>
              </w:rPr>
              <w:t xml:space="preserve"> describes the geometrical, mechanical and transmission attributes of a single</w:t>
            </w:r>
            <w:r w:rsidR="00A11163" w:rsidRPr="004567E2">
              <w:rPr>
                <w:rFonts w:ascii="Times New Roman" w:hAnsi="Times New Roman" w:cs="Times New Roman"/>
                <w:sz w:val="24"/>
                <w:szCs w:val="24"/>
              </w:rPr>
              <w:noBreakHyphen/>
              <w:t>mode optical fibre and cable which has zero-dispersion wavelength around 1310 nm. The ITU</w:t>
            </w:r>
            <w:r w:rsidR="00A11163" w:rsidRPr="004567E2">
              <w:rPr>
                <w:rFonts w:ascii="Times New Roman" w:hAnsi="Times New Roman" w:cs="Times New Roman"/>
                <w:sz w:val="24"/>
                <w:szCs w:val="24"/>
              </w:rPr>
              <w:noBreakHyphen/>
              <w:t>T G.652 fibre was originally optimized for use in the 1310 nm wavelength region, but can also be used in the 1550 nm region. This is the latest revision of a Recommendation that was first created in 1984 and deals with some relatively minor modifications. This revision is intended to maintain the continuing commercial success of this fibre in the evolving world of high-performance optical transmission systems.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31" w:tooltip="Characteristics of a dispersion-shifted, single-mode optical fibre and cable" w:history="1">
              <w:r w:rsidR="00A11163" w:rsidRPr="004567E2">
                <w:rPr>
                  <w:rStyle w:val="Hyperlink"/>
                  <w:rFonts w:ascii="Times New Roman" w:hAnsi="Times New Roman" w:cs="Times New Roman"/>
                  <w:sz w:val="24"/>
                  <w:szCs w:val="24"/>
                </w:rPr>
                <w:t>Recommendation ITU-T G.653 “Characteristics of a dispersion-shifted, single-mode optical fibre and cable”</w:t>
              </w:r>
            </w:hyperlink>
            <w:r w:rsidR="00A11163" w:rsidRPr="004567E2">
              <w:rPr>
                <w:rFonts w:ascii="Times New Roman" w:hAnsi="Times New Roman" w:cs="Times New Roman"/>
                <w:sz w:val="24"/>
                <w:szCs w:val="24"/>
              </w:rPr>
              <w:t xml:space="preserve"> describes the geometrical, mechanical and transmission attributes of a single-mode optical fibre and cable with zero-dispersion wavelength shifted into the 1550 nm wavelength region. This is the latest revision of the Recommendation that was first created in 1988. This revision removes jumper cable cut-off wavelength definition and adds Notes allowing higher maximum cabled attenuation for short jumper cables.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32" w:tooltip="Characteristics of a cut-off shifted single-mode optical fibre and cable" w:history="1">
              <w:r w:rsidR="00A11163" w:rsidRPr="004567E2">
                <w:rPr>
                  <w:rStyle w:val="Hyperlink"/>
                  <w:rFonts w:ascii="Times New Roman" w:hAnsi="Times New Roman" w:cs="Times New Roman"/>
                  <w:sz w:val="24"/>
                  <w:szCs w:val="24"/>
                </w:rPr>
                <w:t>Recommendation ITU-T G.654 “Characteristics of a cut-off shifted single-mode optical fibre and cable”</w:t>
              </w:r>
            </w:hyperlink>
            <w:r w:rsidR="00A11163" w:rsidRPr="004567E2">
              <w:rPr>
                <w:rFonts w:ascii="Times New Roman" w:hAnsi="Times New Roman" w:cs="Times New Roman"/>
                <w:sz w:val="24"/>
                <w:szCs w:val="24"/>
              </w:rPr>
              <w:t xml:space="preserve"> describes the geometrical, mechanical and transmission attributes of a single-mode optical fibre and cable which has the zero-dispersion wavelength around 1 300 nm wavelength, and which is loss-minimized and cut-off wavelength shifted at around the 1 550 nm wavelength region. This is the latest revision of this Recommendation that was first created in 1988.</w:t>
            </w:r>
            <w:r w:rsidR="00A11163" w:rsidRPr="004567E2">
              <w:rPr>
                <w:rFonts w:ascii="Times New Roman" w:hAnsi="Times New Roman" w:cs="Times New Roman"/>
                <w:sz w:val="24"/>
                <w:szCs w:val="24"/>
              </w:rPr>
              <w:br/>
              <w:t xml:space="preserve">Version 10.0 introduces category E ITU-T G.654 fibre in order to significantly improve the optical signal to noise ratio (OSNR) characteristics to support 100 Gbit/s and beyond 100 Gbit/s digital coherent transmission systems in terrestrial deployments. It is intended to maintain the continuing commercial success of this </w:t>
            </w:r>
            <w:r w:rsidR="00A11163" w:rsidRPr="004567E2">
              <w:rPr>
                <w:rFonts w:ascii="Times New Roman" w:hAnsi="Times New Roman" w:cs="Times New Roman"/>
                <w:sz w:val="24"/>
                <w:szCs w:val="24"/>
              </w:rPr>
              <w:lastRenderedPageBreak/>
              <w:t>fibre in the evolving world of high-performance optical transmission systems.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33" w:tooltip="Characteristics of a non-zero dispersion-shifted single-mode optical fibre and cable" w:history="1">
              <w:r w:rsidR="00A11163" w:rsidRPr="004567E2">
                <w:rPr>
                  <w:rStyle w:val="Hyperlink"/>
                  <w:rFonts w:ascii="Times New Roman" w:hAnsi="Times New Roman" w:cs="Times New Roman"/>
                  <w:sz w:val="24"/>
                  <w:szCs w:val="24"/>
                </w:rPr>
                <w:t>Recommendation ITU-T G.655 “Characteristics of a non-zero dispersion-shifted single-mode optical fibre and cable”</w:t>
              </w:r>
            </w:hyperlink>
            <w:r w:rsidR="00A11163" w:rsidRPr="004567E2">
              <w:rPr>
                <w:rFonts w:ascii="Times New Roman" w:hAnsi="Times New Roman" w:cs="Times New Roman"/>
                <w:sz w:val="24"/>
                <w:szCs w:val="24"/>
              </w:rPr>
              <w:t xml:space="preserve"> describes the geometrical, mechanical, and transmission attributes of a single-mode optical fibre which has the absolute value of the chromatic dispersion coefficient greater than some non-zero value throughout the wavelength range from 1530 nm to 1565 nm. This dispersion reduces the growth of non-linear effects which are particularly deleterious in dense wavelength division multiplexing systems.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34" w:tooltip="Characteristics of a fibre and cable with non-zero dispersion for wideband optical transport" w:history="1">
              <w:r w:rsidR="00A11163" w:rsidRPr="004567E2">
                <w:rPr>
                  <w:rStyle w:val="Hyperlink"/>
                  <w:rFonts w:ascii="Times New Roman" w:hAnsi="Times New Roman" w:cs="Times New Roman"/>
                  <w:sz w:val="24"/>
                  <w:szCs w:val="24"/>
                </w:rPr>
                <w:t>Recommendation ITU-T G.656 “Characteristics of a fibre and cable with non-zero dispersion for wideband optical transport”</w:t>
              </w:r>
            </w:hyperlink>
            <w:r w:rsidR="00A11163" w:rsidRPr="004567E2">
              <w:rPr>
                <w:rFonts w:ascii="Times New Roman" w:hAnsi="Times New Roman" w:cs="Times New Roman"/>
                <w:sz w:val="24"/>
                <w:szCs w:val="24"/>
              </w:rPr>
              <w:t xml:space="preserve"> describes the geometrical, mechanical, and transmission attributes of a single-mode optical fibre which has the positive value of the chromatic dispersion coefficient greater than some non-zero value throughout the wavelength range of anticipated use 1460-1625 nm. This dispersion reduces the growth of non-linear effects which are particularly deleterious in dense wavelength division multiplexing systems. This fibre can be used for both CWDM (coarse wavelength division multiplexing) and DWDM (dense wavelength division multiplexing) systems throughout the wavelength region between 1460 and 1625 nm. Edition 2 limits the chromatic dispersion coefficient by a pair of bounding curves vs wavelength for the range of 1460 nm to 1625 nm, which provides information to support CWDM and DWDM applications. Edition 3 removes jumper cut-off wavelength definition and adds a note allowing higher maximum cabled attenuation for short jumper cables.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35" w:tooltip="Characteristics of a bending-loss insensitive single-mode optical fibre and cable" w:history="1">
              <w:r w:rsidR="00A11163" w:rsidRPr="004567E2">
                <w:rPr>
                  <w:rStyle w:val="Hyperlink"/>
                  <w:rFonts w:ascii="Times New Roman" w:hAnsi="Times New Roman" w:cs="Times New Roman"/>
                  <w:sz w:val="24"/>
                  <w:szCs w:val="24"/>
                </w:rPr>
                <w:t>Recommendation ITU-T G.657 “Characteristics of a bending-loss insensitive single-mode optical fibre and cable”</w:t>
              </w:r>
            </w:hyperlink>
            <w:r w:rsidR="00A11163" w:rsidRPr="004567E2">
              <w:rPr>
                <w:rFonts w:ascii="Times New Roman" w:hAnsi="Times New Roman" w:cs="Times New Roman"/>
                <w:sz w:val="24"/>
                <w:szCs w:val="24"/>
              </w:rPr>
              <w:t xml:space="preserve"> recommends strongly improved bending performance compared with the existing ITU-T G.652 single-mode fibre and cables. This is done by means of two categories of single-mode fibres, one of which, category A, is fully compliant with the ITU-T G.652 single-mode fibres and can be deployed throughout the general transport network as well as the access network. The other, category B, is not necessarily compliant with Recommendation </w:t>
            </w:r>
            <w:r w:rsidR="00A11163" w:rsidRPr="004567E2">
              <w:rPr>
                <w:rFonts w:ascii="Times New Roman" w:hAnsi="Times New Roman" w:cs="Times New Roman"/>
                <w:sz w:val="24"/>
                <w:szCs w:val="24"/>
              </w:rPr>
              <w:lastRenderedPageBreak/>
              <w:t>ITU-T G.652, but is capable of low values of macrobending losses at very low bend radii and is intended for application in the access network inside buildings or near buildings (e.g., outside building riser cabling). These category B fibres are system compatible with ITU-T G.657.A (and ITU-T G.652.D) fibres in access networks.</w:t>
            </w:r>
            <w:r w:rsidR="00A11163" w:rsidRPr="004567E2">
              <w:rPr>
                <w:rFonts w:ascii="Times New Roman" w:hAnsi="Times New Roman" w:cs="Times New Roman"/>
                <w:sz w:val="24"/>
                <w:szCs w:val="24"/>
              </w:rPr>
              <w:br/>
              <w:t>This fourth edition of Recommendation ITU-T G.657 modifies, amongst other things, the usage of category A fibres for all applications (access networks as well as general transport networks) where ITU-T G.652.D fibres are used, now with improved bending characteristics.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36" w:history="1">
              <w:r w:rsidR="00A11163" w:rsidRPr="004567E2">
                <w:rPr>
                  <w:rStyle w:val="Hyperlink"/>
                  <w:rFonts w:ascii="Times New Roman" w:hAnsi="Times New Roman" w:cs="Times New Roman"/>
                  <w:sz w:val="24"/>
                  <w:szCs w:val="24"/>
                </w:rPr>
                <w:t>Recommendation ITU-T G.661 “Definitions and test methods for the relevant generic parameters of optical amplifier devices and subsystems”</w:t>
              </w:r>
            </w:hyperlink>
            <w:r w:rsidR="00A11163" w:rsidRPr="004567E2">
              <w:rPr>
                <w:rFonts w:ascii="Times New Roman" w:hAnsi="Times New Roman" w:cs="Times New Roman"/>
                <w:sz w:val="24"/>
                <w:szCs w:val="24"/>
              </w:rPr>
              <w:t xml:space="preserve"> provides the definitions of the relevant parameters, common to the different types of optical amplifiers and the test methods of said parameters to be followed, as far as applicable, for optical amplifier devices and subsystems covered by ITU-T Recommendations.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37" w:tooltip="Generic characteristics of optical amplifier devices and subsystems" w:history="1">
              <w:r w:rsidR="00A11163" w:rsidRPr="004567E2">
                <w:rPr>
                  <w:rStyle w:val="Hyperlink"/>
                  <w:rFonts w:ascii="Times New Roman" w:hAnsi="Times New Roman" w:cs="Times New Roman"/>
                  <w:sz w:val="24"/>
                  <w:szCs w:val="24"/>
                </w:rPr>
                <w:t>Recommendation ITU-T G.662 “Generic characteristics of optical amplifier devices and subsystems”</w:t>
              </w:r>
            </w:hyperlink>
            <w:r w:rsidR="00A11163" w:rsidRPr="004567E2">
              <w:rPr>
                <w:rFonts w:ascii="Times New Roman" w:hAnsi="Times New Roman" w:cs="Times New Roman"/>
                <w:sz w:val="24"/>
                <w:szCs w:val="24"/>
              </w:rPr>
              <w:t xml:space="preserve"> provides the generic characteristics needed for the specification of Optical Amplifiers as devices and subsystems, primarily for applications in digital transmission, and to ensure maximum compatibility with ITU-T G-series Recommendations relating to line systems and equipments.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38" w:tooltip="Application-related aspects of optical amplifier devices and subsystems" w:history="1">
              <w:r w:rsidR="00A11163" w:rsidRPr="004567E2">
                <w:rPr>
                  <w:rStyle w:val="Hyperlink"/>
                  <w:rFonts w:ascii="Times New Roman" w:hAnsi="Times New Roman" w:cs="Times New Roman"/>
                  <w:sz w:val="24"/>
                  <w:szCs w:val="24"/>
                </w:rPr>
                <w:t>Recommendation ITU-T G.663 “Application-related aspects of optical amplifier devices and subsystems”</w:t>
              </w:r>
            </w:hyperlink>
            <w:r w:rsidR="00A11163" w:rsidRPr="004567E2">
              <w:rPr>
                <w:rFonts w:ascii="Times New Roman" w:hAnsi="Times New Roman" w:cs="Times New Roman"/>
                <w:sz w:val="24"/>
                <w:szCs w:val="24"/>
              </w:rPr>
              <w:t xml:space="preserve"> covers application-related aspects of optical amplifier (OA) devices and subsystems, primarily those used in digital systems. Applications include both single-channel and multi-channel systems used in point-to-point and point-to-multipoint configurations for use in long-distance networks and optical access networks. The purpose of this Recommendation is to identify which aspects should be considered for each application and to specify appropriate parameter values and ranges for each type of OA device. In this version of this Recommendation, information about non-linear optical effects in Appendix II is </w:t>
            </w:r>
            <w:r w:rsidR="00A11163" w:rsidRPr="004567E2">
              <w:rPr>
                <w:rFonts w:ascii="Times New Roman" w:hAnsi="Times New Roman" w:cs="Times New Roman"/>
                <w:sz w:val="24"/>
                <w:szCs w:val="24"/>
              </w:rPr>
              <w:lastRenderedPageBreak/>
              <w:t>updated.</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39" w:tooltip="Optical safety procedures and requirements for optical transmission systems" w:history="1">
              <w:r w:rsidR="00A11163" w:rsidRPr="004567E2">
                <w:rPr>
                  <w:rStyle w:val="Hyperlink"/>
                  <w:rFonts w:ascii="Times New Roman" w:hAnsi="Times New Roman" w:cs="Times New Roman"/>
                  <w:sz w:val="24"/>
                  <w:szCs w:val="24"/>
                </w:rPr>
                <w:t>Recommendation ITU-T G.664 “Optical safety procedures and requirements for optical transmission systems”</w:t>
              </w:r>
            </w:hyperlink>
            <w:r w:rsidR="00A11163" w:rsidRPr="004567E2">
              <w:rPr>
                <w:rFonts w:ascii="Times New Roman" w:hAnsi="Times New Roman" w:cs="Times New Roman"/>
                <w:sz w:val="24"/>
                <w:szCs w:val="24"/>
              </w:rPr>
              <w:t xml:space="preserve"> provides guidelines and requirements for techniques to enable optically safe working conditions (for the human eye and skin) on optical interfaces of the optical transport network, in particular, for systems employing high-power Raman amplification techniques, for equipment in restricted and controlled locations.</w:t>
            </w:r>
            <w:r w:rsidR="00A11163" w:rsidRPr="004567E2">
              <w:rPr>
                <w:rFonts w:ascii="Times New Roman" w:hAnsi="Times New Roman" w:cs="Times New Roman"/>
                <w:sz w:val="24"/>
                <w:szCs w:val="24"/>
              </w:rPr>
              <w:br/>
              <w:t>Due to revisions of relevant IEC requirements, the automatic laser shut-down (ALS) procedure, defined in a previous version of this Recommendation for synchronous digital hierarchy (SDH) systems, is no longer necessary and has therefore been moved to an informative appendix. Furthermore, this Recommendation provides new guidelines on automatic power reduction (APR) procedures for systems employing high-power Raman amplification techniques and this latest version includes Raman-based GPON reach extension systems.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40" w:tooltip="Generic characteristics of Raman amplifiers and Raman amplified subsystems" w:history="1">
              <w:r w:rsidR="00A11163" w:rsidRPr="004567E2">
                <w:rPr>
                  <w:rStyle w:val="Hyperlink"/>
                  <w:rFonts w:ascii="Times New Roman" w:hAnsi="Times New Roman" w:cs="Times New Roman"/>
                  <w:sz w:val="24"/>
                  <w:szCs w:val="24"/>
                </w:rPr>
                <w:t>Recommendation ITU-T G.665 “Generic characteristics of Raman amplifiers and Raman amplified subsystems”</w:t>
              </w:r>
            </w:hyperlink>
            <w:r w:rsidR="00A11163" w:rsidRPr="004567E2">
              <w:rPr>
                <w:rFonts w:ascii="Times New Roman" w:hAnsi="Times New Roman" w:cs="Times New Roman"/>
                <w:sz w:val="24"/>
                <w:szCs w:val="24"/>
              </w:rPr>
              <w:t xml:space="preserve"> identifies the definitions and test methods of performance parameters of the following fibre Raman amplifiers and Raman amplified subsystems:</w:t>
            </w:r>
            <w:r w:rsidR="00A11163" w:rsidRPr="004567E2">
              <w:rPr>
                <w:rFonts w:ascii="Times New Roman" w:hAnsi="Times New Roman" w:cs="Times New Roman"/>
                <w:sz w:val="24"/>
                <w:szCs w:val="24"/>
              </w:rPr>
              <w:br/>
              <w:t>• reverse pumped distributed Raman amplifier;</w:t>
            </w:r>
            <w:r w:rsidR="00A11163" w:rsidRPr="004567E2">
              <w:rPr>
                <w:rFonts w:ascii="Times New Roman" w:hAnsi="Times New Roman" w:cs="Times New Roman"/>
                <w:sz w:val="24"/>
                <w:szCs w:val="24"/>
              </w:rPr>
              <w:br/>
              <w:t>• forward pumped distributed Raman amplifier;</w:t>
            </w:r>
            <w:r w:rsidR="00A11163" w:rsidRPr="004567E2">
              <w:rPr>
                <w:rFonts w:ascii="Times New Roman" w:hAnsi="Times New Roman" w:cs="Times New Roman"/>
                <w:sz w:val="24"/>
                <w:szCs w:val="24"/>
              </w:rPr>
              <w:br/>
              <w:t>• bidirectionally pumped distributed Raman amplifier;</w:t>
            </w:r>
            <w:r w:rsidR="00A11163" w:rsidRPr="004567E2">
              <w:rPr>
                <w:rFonts w:ascii="Times New Roman" w:hAnsi="Times New Roman" w:cs="Times New Roman"/>
                <w:sz w:val="24"/>
                <w:szCs w:val="24"/>
              </w:rPr>
              <w:br/>
              <w:t>• reverse pumped distributed, composite Raman amplifier;</w:t>
            </w:r>
            <w:r w:rsidR="00A11163" w:rsidRPr="004567E2">
              <w:rPr>
                <w:rFonts w:ascii="Times New Roman" w:hAnsi="Times New Roman" w:cs="Times New Roman"/>
                <w:sz w:val="24"/>
                <w:szCs w:val="24"/>
              </w:rPr>
              <w:br/>
              <w:t>• bidirectionally pumped distributed, composite Raman amplifier;</w:t>
            </w:r>
            <w:r w:rsidR="00A11163" w:rsidRPr="004567E2">
              <w:rPr>
                <w:rFonts w:ascii="Times New Roman" w:hAnsi="Times New Roman" w:cs="Times New Roman"/>
                <w:sz w:val="24"/>
                <w:szCs w:val="24"/>
              </w:rPr>
              <w:br/>
              <w:t>• discrete Raman amplifier.This Recommendation describes the classification, the type code, and the reference models of various Raman amplifiers. It also outlines the general characteristics of the Raman amplifiers, and defines the performance and testing parameters for the Raman amplifiers.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41" w:history="1">
              <w:r w:rsidR="00A11163" w:rsidRPr="004567E2">
                <w:rPr>
                  <w:rStyle w:val="Hyperlink"/>
                  <w:rFonts w:ascii="Times New Roman" w:hAnsi="Times New Roman" w:cs="Times New Roman"/>
                  <w:sz w:val="24"/>
                  <w:szCs w:val="24"/>
                </w:rPr>
                <w:t>Recommendation ITU-T G.666 “Characteristics of polarization mode dispersion compensators and of receivers that compensate for polarization mode dispersion”</w:t>
              </w:r>
            </w:hyperlink>
            <w:r w:rsidR="00A11163" w:rsidRPr="004567E2">
              <w:rPr>
                <w:rFonts w:ascii="Times New Roman" w:hAnsi="Times New Roman" w:cs="Times New Roman"/>
                <w:sz w:val="24"/>
                <w:szCs w:val="24"/>
              </w:rPr>
              <w:t xml:space="preserve"> </w:t>
            </w:r>
            <w:r w:rsidR="00A11163" w:rsidRPr="004567E2">
              <w:rPr>
                <w:rFonts w:ascii="Times New Roman" w:hAnsi="Times New Roman" w:cs="Times New Roman"/>
                <w:sz w:val="24"/>
                <w:szCs w:val="24"/>
              </w:rPr>
              <w:lastRenderedPageBreak/>
              <w:t>contains parameters and definitions for devices providing polarization mode dispersion (PMD) compensation needed for transmission and detection of optical signals in a system exhibiting high levels of PMD which would otherwise cause unacceptable levels of system outage. Single and multichannel line PMD compensators are described, as well as single and multichannel PMD compensating receivers. Information on test configurations describing implementation examples of first order and second order PMD emulators and implementation options of PMD compensators can be found in informative appendices. In this revised version information on an implementation example of a receiver based optical singe-channel PMDC has been added.</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42" w:tooltip="Characteristics of adaptive chromatic dispersion compensators" w:history="1">
              <w:r w:rsidR="00A11163" w:rsidRPr="004567E2">
                <w:rPr>
                  <w:rStyle w:val="Hyperlink"/>
                  <w:rFonts w:ascii="Times New Roman" w:hAnsi="Times New Roman" w:cs="Times New Roman"/>
                  <w:sz w:val="24"/>
                  <w:szCs w:val="24"/>
                </w:rPr>
                <w:t>Recommendation ITU-T G.667 “Characteristics of adaptive chromatic dispersion compensators”</w:t>
              </w:r>
            </w:hyperlink>
            <w:r w:rsidR="00A11163" w:rsidRPr="004567E2">
              <w:rPr>
                <w:rFonts w:ascii="Times New Roman" w:hAnsi="Times New Roman" w:cs="Times New Roman"/>
                <w:sz w:val="24"/>
                <w:szCs w:val="24"/>
              </w:rPr>
              <w:t xml:space="preserve"> contains parameters and definitions for devices providing adaptive chromatic dispersion compensation. These devices are needed for transmission and detection of optical signals in a system exhibiting high levels of dynamic variation of chromatic dispersion which would otherwise impair system operation. Single and multichannel line adaptive dispersion compensators are described, as well as single and multichannel adaptive dispersion compensating transmitters and receivers which may comprise electrical or optical forms of chromatic dispersion compensation. Information on single channel and multichannel adaptive chromatic dispersion compensation implementation, as well as principles of adaptive dispersion compensation, can be found in informative appendices.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43" w:tooltip="Transmission characteristics of optical components and subsystems" w:history="1">
              <w:r w:rsidR="00A11163" w:rsidRPr="004567E2">
                <w:rPr>
                  <w:rStyle w:val="Hyperlink"/>
                  <w:rFonts w:ascii="Times New Roman" w:hAnsi="Times New Roman" w:cs="Times New Roman"/>
                  <w:sz w:val="24"/>
                  <w:szCs w:val="24"/>
                </w:rPr>
                <w:t>Recommendation ITU-T G.671 “Transmission characteristics of optical components and subsystems”</w:t>
              </w:r>
            </w:hyperlink>
            <w:r w:rsidR="00A11163" w:rsidRPr="004567E2">
              <w:rPr>
                <w:rFonts w:ascii="Times New Roman" w:hAnsi="Times New Roman" w:cs="Times New Roman"/>
                <w:sz w:val="24"/>
                <w:szCs w:val="24"/>
              </w:rPr>
              <w:t xml:space="preserve"> covers the transmission-related aspects of all types of optical components used in long-haul networks and access networks. A broad range of types of optical components is included in this Recommendation. This Recommendation also includes transmission characteristics of optical components under the full range of operating conditions, but does not specify the operating service conditions, installation aspects or other aspects of components not affecting the optical transmission path. This Recommendation also draws upon the relevant </w:t>
            </w:r>
            <w:r w:rsidR="00A11163" w:rsidRPr="004567E2">
              <w:rPr>
                <w:rFonts w:ascii="Times New Roman" w:hAnsi="Times New Roman" w:cs="Times New Roman"/>
                <w:sz w:val="24"/>
                <w:szCs w:val="24"/>
              </w:rPr>
              <w:lastRenderedPageBreak/>
              <w:t>IEC definitions and test methods where applicable.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44" w:tooltip="Characteristics of multi-degree reconfigurable optical add/drop multiplexers" w:history="1">
              <w:r w:rsidR="00A11163" w:rsidRPr="004567E2">
                <w:rPr>
                  <w:rStyle w:val="Hyperlink"/>
                  <w:rFonts w:ascii="Times New Roman" w:hAnsi="Times New Roman" w:cs="Times New Roman"/>
                  <w:sz w:val="24"/>
                  <w:szCs w:val="24"/>
                </w:rPr>
                <w:t>Recommendation ITU-T G.672 “Characteristics of multi-degree reconfigurable optical add/drop multiplexers”</w:t>
              </w:r>
            </w:hyperlink>
            <w:r w:rsidR="00A11163" w:rsidRPr="004567E2">
              <w:rPr>
                <w:rFonts w:ascii="Times New Roman" w:hAnsi="Times New Roman" w:cs="Times New Roman"/>
                <w:sz w:val="24"/>
                <w:szCs w:val="24"/>
              </w:rPr>
              <w:t xml:space="preserve"> provides a description of the relevant characteristics of multi-degree reconfigurable optical add/drop multiplexer (MD-ROADM) network elements. The MD-ROADM is intended to be used in optical networks based on dense wavelength division multiplexing (DWDM), to enhance network scalability and to support enhanced service provisioning and resilience features. This Recommendation also provides classification criteria and a list of optical transfer parameters (without values in the current version) for MD-ROADMs. In this version of this Recommendation, characteristics, classification criteria and optical transfer parameters are applied to MD-ROADMs appropriate for fixed DWDM grid applications.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45" w:tooltip="Physical transfer functions of optical network elements" w:history="1">
              <w:r w:rsidR="00A11163" w:rsidRPr="004567E2">
                <w:rPr>
                  <w:rStyle w:val="Hyperlink"/>
                  <w:rFonts w:ascii="Times New Roman" w:hAnsi="Times New Roman" w:cs="Times New Roman"/>
                  <w:sz w:val="24"/>
                  <w:szCs w:val="24"/>
                </w:rPr>
                <w:t>Recommendation ITU-T G.680 “Physical transfer functions of optical network elements”</w:t>
              </w:r>
            </w:hyperlink>
            <w:r w:rsidR="00A11163" w:rsidRPr="004567E2">
              <w:rPr>
                <w:rFonts w:ascii="Times New Roman" w:hAnsi="Times New Roman" w:cs="Times New Roman"/>
                <w:sz w:val="24"/>
                <w:szCs w:val="24"/>
              </w:rPr>
              <w:t xml:space="preserve"> defines a "degradation function" of optical network elements (ONEs) such as photonic cross-connects (PXCs), optical add-drop multiplexers (OADMs), etc. making up an optical network. This is done in terms of a list of parameters which characterize physical impairments such as optical noise, chromatic dispersion, etc., and is intended to be independent from the network architecture that the devices are deployed in. For each kind of ONE considered in this Recommendation, the general functional description and the reference diagram is provided. Principles for calculating the effect of cascading multiple ONEs on the degradation of the optical signal quality are given and example transfer parameter values for OADMs and PXCs are also provided.This version of the Recommendation covers the situation where the optical path between two consecutive electrical regenerators is composed of dense wavelength division multiplexing (DWDM) line segments from a single vendor and OADMs and PXCs from other vendors.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46" w:tooltip="Optical interfaces for single channel STM-64 and other SDH systems with optical amplifiers" w:history="1">
              <w:r w:rsidR="00A11163" w:rsidRPr="004567E2">
                <w:rPr>
                  <w:rStyle w:val="Hyperlink"/>
                  <w:rFonts w:ascii="Times New Roman" w:hAnsi="Times New Roman" w:cs="Times New Roman"/>
                  <w:sz w:val="24"/>
                  <w:szCs w:val="24"/>
                </w:rPr>
                <w:t>Recommendation ITU-T G.691 “Optical interfaces for single channel STM-64 and other SDH systems with optical amplifiers”</w:t>
              </w:r>
            </w:hyperlink>
            <w:r w:rsidR="00A11163" w:rsidRPr="004567E2">
              <w:rPr>
                <w:rFonts w:ascii="Times New Roman" w:hAnsi="Times New Roman" w:cs="Times New Roman"/>
                <w:sz w:val="24"/>
                <w:szCs w:val="24"/>
              </w:rPr>
              <w:t xml:space="preserve"> provides parameters and values for </w:t>
            </w:r>
            <w:r w:rsidR="00A11163" w:rsidRPr="004567E2">
              <w:rPr>
                <w:rFonts w:ascii="Times New Roman" w:hAnsi="Times New Roman" w:cs="Times New Roman"/>
                <w:sz w:val="24"/>
                <w:szCs w:val="24"/>
              </w:rPr>
              <w:lastRenderedPageBreak/>
              <w:t>optical interfaces of single-channel long-haul STM-4, STM-16 and STM-64 systems utilizing optical preamplifiers and/or optical booster amplifiers. Furthermore, it provides optical interface parameters for single-channel STM-64 intra-office and short-haul systems without optical amplification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47" w:tooltip="Optical interfaces for multichannel systems with optical amplifiers" w:history="1">
              <w:r w:rsidR="00A11163" w:rsidRPr="004567E2">
                <w:rPr>
                  <w:rStyle w:val="Hyperlink"/>
                  <w:rFonts w:ascii="Times New Roman" w:hAnsi="Times New Roman" w:cs="Times New Roman"/>
                  <w:sz w:val="24"/>
                  <w:szCs w:val="24"/>
                </w:rPr>
                <w:t>Recommendation ITU-T G.692 “Optical interfaces for multichannel systems with optical amplifiers”</w:t>
              </w:r>
            </w:hyperlink>
            <w:r w:rsidR="00A11163" w:rsidRPr="004567E2">
              <w:rPr>
                <w:rFonts w:ascii="Times New Roman" w:hAnsi="Times New Roman" w:cs="Times New Roman"/>
                <w:sz w:val="24"/>
                <w:szCs w:val="24"/>
              </w:rPr>
              <w:t xml:space="preserve"> specifies multichannel optical line system interfaces for the purpose of providing future transverse compatibility among such systems.This Recommendation defines interface parameters for systems of four, eight and sixteen channels operating at bit rates of up to STM-16 on fibres, as described in Recommendations G.652, G.653 and G.655 with nominal span lengths of 80 km, 120 km and 160 km and target distances between regenerators of up to 640 km. A frequency grid anchored at 193.1 THz with interchannel spacings at integer multiples of 50 GHz and 100 GHz is specified as the basis for selecting channel central frequencies.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48" w:tooltip="Optical interfaces for intra-office systems" w:history="1">
              <w:r w:rsidR="00A11163" w:rsidRPr="004567E2">
                <w:rPr>
                  <w:rStyle w:val="Hyperlink"/>
                  <w:rFonts w:ascii="Times New Roman" w:hAnsi="Times New Roman" w:cs="Times New Roman"/>
                  <w:sz w:val="24"/>
                  <w:szCs w:val="24"/>
                </w:rPr>
                <w:t>Recommendation ITU-T G.693 “Optical interfaces for intra-office systems”</w:t>
              </w:r>
            </w:hyperlink>
            <w:r w:rsidR="00A11163" w:rsidRPr="004567E2">
              <w:rPr>
                <w:rFonts w:ascii="Times New Roman" w:hAnsi="Times New Roman" w:cs="Times New Roman"/>
                <w:sz w:val="24"/>
                <w:szCs w:val="24"/>
              </w:rPr>
              <w:t xml:space="preserve"> provides parameters and values for optical interfaces of single channel intra-office systems of nominal 10 Gbit/s and 40 Gbit/s aggregate bit rate. Applications are specified with target distances of 0.6 and 2 km and various loss budgets for ITU-T G.652, ITU-T G.653 and ITU-T G.655 fibres. The latest version makes use of improved specifications for chromatic dispersion of these fibre types.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49" w:tooltip="Spectral grids for WDM applications: DWDM frequency grid" w:history="1">
              <w:r w:rsidR="00A11163" w:rsidRPr="004567E2">
                <w:rPr>
                  <w:rStyle w:val="Hyperlink"/>
                  <w:rFonts w:ascii="Times New Roman" w:hAnsi="Times New Roman" w:cs="Times New Roman"/>
                  <w:sz w:val="24"/>
                  <w:szCs w:val="24"/>
                </w:rPr>
                <w:t>Recommendation ITU-T G.694.1 “Spectral grids for WDM applications: DWDM frequency grid”</w:t>
              </w:r>
            </w:hyperlink>
            <w:r w:rsidR="00A11163" w:rsidRPr="004567E2">
              <w:rPr>
                <w:rFonts w:ascii="Times New Roman" w:hAnsi="Times New Roman" w:cs="Times New Roman"/>
                <w:sz w:val="24"/>
                <w:szCs w:val="24"/>
              </w:rPr>
              <w:t xml:space="preserve"> provides a frequency grid for dense wavelength division multiplexing (DWDM) applications. The frequency grid, anchored to 193.1 THz, supports a variety of channel spacings ranging from 12.5 GHz to 100 GHz and wider.</w:t>
            </w:r>
            <w:r w:rsidR="00A11163" w:rsidRPr="004567E2">
              <w:rPr>
                <w:rFonts w:ascii="Times New Roman" w:hAnsi="Times New Roman" w:cs="Times New Roman"/>
                <w:sz w:val="24"/>
                <w:szCs w:val="24"/>
              </w:rPr>
              <w:br/>
              <w:t>Edition 2.0 of this Recommendation also includes a flexible DWDM grid.</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50" w:tooltip="Spectral grids for WDM applications: CWDM wavelength grid" w:history="1">
              <w:r w:rsidR="00A11163" w:rsidRPr="004567E2">
                <w:rPr>
                  <w:rStyle w:val="Hyperlink"/>
                  <w:rFonts w:ascii="Times New Roman" w:hAnsi="Times New Roman" w:cs="Times New Roman"/>
                  <w:sz w:val="24"/>
                  <w:szCs w:val="24"/>
                </w:rPr>
                <w:t>Recommendation ITU-T G.694.2 “Spectral grids for WDM applications: CWDM wavelength grid”</w:t>
              </w:r>
            </w:hyperlink>
            <w:r w:rsidR="00A11163" w:rsidRPr="004567E2">
              <w:rPr>
                <w:rFonts w:ascii="Times New Roman" w:hAnsi="Times New Roman" w:cs="Times New Roman"/>
                <w:sz w:val="24"/>
                <w:szCs w:val="24"/>
              </w:rPr>
              <w:t xml:space="preserve"> provides the wavelength grid for coarse wavelength division multiplexing (CWDM) applications. This wavelength grid supports a channel </w:t>
            </w:r>
            <w:r w:rsidR="00A11163" w:rsidRPr="004567E2">
              <w:rPr>
                <w:rFonts w:ascii="Times New Roman" w:hAnsi="Times New Roman" w:cs="Times New Roman"/>
                <w:sz w:val="24"/>
                <w:szCs w:val="24"/>
              </w:rPr>
              <w:lastRenderedPageBreak/>
              <w:t>spacing of 20 nm.The wavelength grid in this version of this Recommendation has been moved by 1 nm to align it with current industry practice while maintaining symmetrical nominal central wavelength deviations.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51" w:tooltip="Optical interfaces for coarse wavelength division multiplexing applications" w:history="1">
              <w:r w:rsidR="00A11163" w:rsidRPr="004567E2">
                <w:rPr>
                  <w:rStyle w:val="Hyperlink"/>
                  <w:rFonts w:ascii="Times New Roman" w:hAnsi="Times New Roman" w:cs="Times New Roman"/>
                  <w:sz w:val="24"/>
                  <w:szCs w:val="24"/>
                </w:rPr>
                <w:t>Recommendation ITU-T G.695 “Optical interfaces for coarse wavelength division multiplexing applications”</w:t>
              </w:r>
            </w:hyperlink>
            <w:r w:rsidR="00A11163" w:rsidRPr="004567E2">
              <w:rPr>
                <w:rFonts w:ascii="Times New Roman" w:hAnsi="Times New Roman" w:cs="Times New Roman"/>
                <w:sz w:val="24"/>
                <w:szCs w:val="24"/>
              </w:rPr>
              <w:t xml:space="preserve"> provides optical parameter values for physical layer interfaces of coarse wavelength division multiplexing (CWDM) applications with up to 16 channels and up to 25 Gbit/s. Applications are defined using two different methods, one using multichannel interface parameters and the other using single-channel interface parameters. Both unidirectional and bidirectional applications are specified. In this version of this Recommendation, an application code for 4 channel PAM4 50G short-haul black box applications has been added, which is suitable for carrying FOIC2.4 (200G striped across four physical lanes).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52" w:tooltip="Longitudinally compatible intra-domain DWDM applications" w:history="1">
              <w:r w:rsidR="00A11163" w:rsidRPr="004567E2">
                <w:rPr>
                  <w:rStyle w:val="Hyperlink"/>
                  <w:rFonts w:ascii="Times New Roman" w:hAnsi="Times New Roman" w:cs="Times New Roman"/>
                  <w:sz w:val="24"/>
                  <w:szCs w:val="24"/>
                </w:rPr>
                <w:t>Recommendation ITU-T G.696.1 “Longitudinally compatible intra-domain DWDM applications”</w:t>
              </w:r>
            </w:hyperlink>
            <w:r w:rsidR="00A11163" w:rsidRPr="004567E2">
              <w:rPr>
                <w:rFonts w:ascii="Times New Roman" w:hAnsi="Times New Roman" w:cs="Times New Roman"/>
                <w:sz w:val="24"/>
                <w:szCs w:val="24"/>
              </w:rPr>
              <w:t xml:space="preserve"> provides physical layer specifications for intra-domain (IaD) DWDM optical networking applications. Longitudinally compatible applications inside a single administrative domain are described for point-to-point, multichannel line systems with or without line amplifiers. The application codes in this Recommendation provide a set of categories for DWDM transmission systems and fibre links. The primary purpose is to enable multiple vendors to design DWDM transmission equipment for fibre links that are compliant with this Recommendation.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53" w:tooltip="Optical monitoring for dense wavelength division multiplexing systems" w:history="1">
              <w:r w:rsidR="00A11163" w:rsidRPr="004567E2">
                <w:rPr>
                  <w:rStyle w:val="Hyperlink"/>
                  <w:rFonts w:ascii="Times New Roman" w:hAnsi="Times New Roman" w:cs="Times New Roman"/>
                  <w:sz w:val="24"/>
                  <w:szCs w:val="24"/>
                </w:rPr>
                <w:t>Recommendation ITU-T G.697 “Optical monitoring for dense wavelength division multiplexing systems”</w:t>
              </w:r>
            </w:hyperlink>
            <w:r w:rsidR="00A11163" w:rsidRPr="004567E2">
              <w:rPr>
                <w:rFonts w:ascii="Times New Roman" w:hAnsi="Times New Roman" w:cs="Times New Roman"/>
                <w:sz w:val="24"/>
                <w:szCs w:val="24"/>
              </w:rPr>
              <w:t xml:space="preserve"> defines optical monitoring (OM) that can help in dense wavelength division multiplexing (DWDM) systems to perform the following activities:</w:t>
            </w:r>
            <w:r w:rsidR="00A11163" w:rsidRPr="004567E2">
              <w:rPr>
                <w:rFonts w:ascii="Times New Roman" w:hAnsi="Times New Roman" w:cs="Times New Roman"/>
                <w:sz w:val="24"/>
                <w:szCs w:val="24"/>
              </w:rPr>
              <w:br/>
              <w:t>– configuration management for system and channel activation, addition of new channels, etc.;</w:t>
            </w:r>
            <w:r w:rsidR="00A11163" w:rsidRPr="004567E2">
              <w:rPr>
                <w:rFonts w:ascii="Times New Roman" w:hAnsi="Times New Roman" w:cs="Times New Roman"/>
                <w:sz w:val="24"/>
                <w:szCs w:val="24"/>
              </w:rPr>
              <w:br/>
              <w:t>– fault management to detect and to isolate faults;</w:t>
            </w:r>
            <w:r w:rsidR="00A11163" w:rsidRPr="004567E2">
              <w:rPr>
                <w:rFonts w:ascii="Times New Roman" w:hAnsi="Times New Roman" w:cs="Times New Roman"/>
                <w:sz w:val="24"/>
                <w:szCs w:val="24"/>
              </w:rPr>
              <w:br/>
              <w:t xml:space="preserve">– degradation management in order to keep the system running and to detect </w:t>
            </w:r>
            <w:r w:rsidR="00A11163" w:rsidRPr="004567E2">
              <w:rPr>
                <w:rFonts w:ascii="Times New Roman" w:hAnsi="Times New Roman" w:cs="Times New Roman"/>
                <w:sz w:val="24"/>
                <w:szCs w:val="24"/>
              </w:rPr>
              <w:lastRenderedPageBreak/>
              <w:t>degradations before a fault occurs.</w:t>
            </w:r>
            <w:r w:rsidR="00A11163" w:rsidRPr="004567E2">
              <w:rPr>
                <w:rFonts w:ascii="Times New Roman" w:hAnsi="Times New Roman" w:cs="Times New Roman"/>
                <w:sz w:val="24"/>
                <w:szCs w:val="24"/>
              </w:rPr>
              <w:br/>
              <w:t>DWDM technology is improving at a rapid pace, continuously stretching the channel count, channel speeds and reach limits. Long-haul multi-span DWDM systems are capable of taking optical signals thousands of kilometres without electrical terminations or regeneration.</w:t>
            </w:r>
            <w:r w:rsidR="00A11163" w:rsidRPr="004567E2">
              <w:rPr>
                <w:rFonts w:ascii="Times New Roman" w:hAnsi="Times New Roman" w:cs="Times New Roman"/>
                <w:sz w:val="24"/>
                <w:szCs w:val="24"/>
              </w:rPr>
              <w:br/>
              <w:t>This continuing trend is driving the increasing importance of OM, which is the subject of this Recommendation.</w:t>
            </w:r>
            <w:r w:rsidR="00A11163" w:rsidRPr="004567E2">
              <w:rPr>
                <w:rFonts w:ascii="Times New Roman" w:hAnsi="Times New Roman" w:cs="Times New Roman"/>
                <w:sz w:val="24"/>
                <w:szCs w:val="24"/>
              </w:rPr>
              <w:br/>
              <w:t>This edition of this Recommendation provides additional information on OM for 40 Gbit/s and 100 Gbit/s signals, adds beat noise method to the clause for optical signal-to-noise ratio (OSNR) measurements, and introduces a new clause on security considerations.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54" w:tooltip="Multichannel DWDM applications with single-channel optical interfaces" w:history="1">
              <w:r w:rsidR="00A11163" w:rsidRPr="004567E2">
                <w:rPr>
                  <w:rStyle w:val="Hyperlink"/>
                  <w:rFonts w:ascii="Times New Roman" w:hAnsi="Times New Roman" w:cs="Times New Roman"/>
                  <w:sz w:val="24"/>
                  <w:szCs w:val="24"/>
                </w:rPr>
                <w:t>Recommendation ITU-T G.698.1 “Multichannel DWDM applications with single-channel optical interfaces”</w:t>
              </w:r>
            </w:hyperlink>
            <w:r w:rsidR="00A11163" w:rsidRPr="004567E2">
              <w:rPr>
                <w:rFonts w:ascii="Times New Roman" w:hAnsi="Times New Roman" w:cs="Times New Roman"/>
                <w:sz w:val="24"/>
                <w:szCs w:val="24"/>
              </w:rPr>
              <w:t xml:space="preserve"> provides optical parameter values for physical layer interfaces of dense wavelength division multiplexing (DWDM) systems primarily intended for metro applications. Applications are defined using optical interface parameters at the single-channel connection points between optical transmitters and the optical multiplexer, as well as between optical receivers and the optical demultiplexer in the DWDM system. This Recommendation uses a methodology which fixes the maximum attenuation of the multiplexer/demultiplexer and fibre together and, therefore, does not specify the maximum fibre-link length explicitly. This Recommendation includes unidirectional DWDM applications at 2.5 and 10 Gbit/s with 100-GHz channel frequency spacing, as well as applications at 10 Gbit/s with 50 GHz channel frequency spacing.This latest revision of Recommendation ITU-T G.698.1 includes the use of optical add-drop multiplexers (OADMs) within the black link.</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55" w:history="1">
              <w:r w:rsidR="00A11163" w:rsidRPr="004567E2">
                <w:rPr>
                  <w:rStyle w:val="Hyperlink"/>
                  <w:rFonts w:ascii="Times New Roman" w:hAnsi="Times New Roman" w:cs="Times New Roman"/>
                  <w:sz w:val="24"/>
                  <w:szCs w:val="24"/>
                </w:rPr>
                <w:t>Recommendation ITU-T G.698.2 “Amplified multichannel dense wavelength division multiplexing applications with single channel optical interfaces”</w:t>
              </w:r>
            </w:hyperlink>
            <w:r w:rsidR="00A11163" w:rsidRPr="004567E2">
              <w:rPr>
                <w:rFonts w:ascii="Times New Roman" w:hAnsi="Times New Roman" w:cs="Times New Roman"/>
                <w:sz w:val="24"/>
                <w:szCs w:val="24"/>
              </w:rPr>
              <w:t xml:space="preserve"> provides optical parameter values for physical layer interfaces of dense wavelength division multiplexing (DWDM) systems primarily intended for metro applications which </w:t>
            </w:r>
            <w:r w:rsidR="00A11163" w:rsidRPr="004567E2">
              <w:rPr>
                <w:rFonts w:ascii="Times New Roman" w:hAnsi="Times New Roman" w:cs="Times New Roman"/>
                <w:sz w:val="24"/>
                <w:szCs w:val="24"/>
              </w:rPr>
              <w:lastRenderedPageBreak/>
              <w:t>include optical amplifiers. Applications are defined using optical interface parameters at the single-channel connection points between optical transmitters and the optical multiplexer, as well as between optical receivers and the optical demultiplexer in the DWDM system. This Recommendation uses a methodology which does not specify the details of the optical link, e.g., the maximum fibre length, explicitly. This version of this Recommendation includes unidirectional DWDM applications at 2.5 and 10 Gbit/s with 100 GHz channel frequency spacing as well as applications at 10 Gbit/s with 50 GHz channel frequency spacing.</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56" w:tooltip="Multichannel seeded DWDM applications with single-channel optical interfaces" w:history="1">
              <w:r w:rsidR="00A11163" w:rsidRPr="004567E2">
                <w:rPr>
                  <w:rStyle w:val="Hyperlink"/>
                  <w:rFonts w:ascii="Times New Roman" w:hAnsi="Times New Roman" w:cs="Times New Roman"/>
                  <w:sz w:val="24"/>
                  <w:szCs w:val="24"/>
                </w:rPr>
                <w:t>Recommendation ITU-T G.698.3 “Multichannel seeded DWDM applications with single-channel optical interfaces”</w:t>
              </w:r>
            </w:hyperlink>
            <w:r w:rsidR="00A11163" w:rsidRPr="004567E2">
              <w:rPr>
                <w:rFonts w:ascii="Times New Roman" w:hAnsi="Times New Roman" w:cs="Times New Roman"/>
                <w:sz w:val="24"/>
                <w:szCs w:val="24"/>
              </w:rPr>
              <w:t xml:space="preserve"> provides optical parameter values for physical layer interfaces of seeded dense wavelength division multiplexing (DWDM) systems primarily intended for metro applications. Applications are defined using optical interface parameters and values for single-channel and multichannel interfaces of seeded DWDM multichannel optical systems in point-to-point applications. This Recommendation uses a system architecture comprising a head-end, connecting to the tail-end equipment (TEE) through a black link. The head-end houses a set of transmitters and receivers and an optical multiplexer and demultiplexer (OD/OM) in addition to a seed signal source. A single bidirectional fibre is used to connect the head-end to the passive OD/OM. Connection between OD/OM and remote TEE is also bidirectional. At the tail-end, all transmitters use a seed signal to lock to the desired transmission wavelength. The initial version of this Recommendation includes seeded DWDM application at 1.25 Gbit/s with 100-GHz channel frequency spacing.</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57" w:history="1">
              <w:r w:rsidR="00A11163" w:rsidRPr="004567E2">
                <w:rPr>
                  <w:rStyle w:val="Hyperlink"/>
                  <w:rFonts w:ascii="Times New Roman" w:hAnsi="Times New Roman" w:cs="Times New Roman"/>
                  <w:sz w:val="24"/>
                  <w:szCs w:val="24"/>
                </w:rPr>
                <w:t>Recommendation ITU-T G.698.4 “Multichannel bi-directional DWDM applications with port agnostic single-channel optical interfaces”</w:t>
              </w:r>
            </w:hyperlink>
            <w:r w:rsidR="00A11163" w:rsidRPr="004567E2">
              <w:rPr>
                <w:rFonts w:ascii="Times New Roman" w:hAnsi="Times New Roman" w:cs="Times New Roman"/>
                <w:sz w:val="24"/>
                <w:szCs w:val="24"/>
              </w:rPr>
              <w:t xml:space="preserve"> (under approval) provides optical parameter values for physical layer interfaces of dense wavelength division multiplexing (DWDM) systems primarily intended for metro applications, where the tail-end transmitters have the capability to automatically adapt their DWDM channel frequency to the optical demultiplexer/optical multiplexer </w:t>
            </w:r>
            <w:r w:rsidR="00A11163" w:rsidRPr="004567E2">
              <w:rPr>
                <w:rFonts w:ascii="Times New Roman" w:hAnsi="Times New Roman" w:cs="Times New Roman"/>
                <w:sz w:val="24"/>
                <w:szCs w:val="24"/>
              </w:rPr>
              <w:lastRenderedPageBreak/>
              <w:t>(OD/OM) or optical add-drop multiplexer (OADM) port. Applications are defined using optical interface parameters and values for single-channel and multichannel interfaces of multichannel DWDM optical systems in point-to-point applications. This Recommendation uses a system architecture comprising a head end, connecting to the tail-end equipment (TEE) through a black link. The head end houses a set of transmitters and receivers and an OD/OM. A single bidirectional fibre is used to connect the head end to the black link OD/OM or OADM. The connection between the OD/OM/OADM and the TEE is also bidirectional. The initial version of this Recommendation includes DWDM applications up to 10 Gbit/s with channel frequency spacing of 50 GHz and 100 GHz.</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58" w:tooltip="Interfaces for the optical transport network" w:history="1">
              <w:r w:rsidR="00A11163" w:rsidRPr="004567E2">
                <w:rPr>
                  <w:rStyle w:val="Hyperlink"/>
                  <w:rFonts w:ascii="Times New Roman" w:hAnsi="Times New Roman" w:cs="Times New Roman"/>
                  <w:sz w:val="24"/>
                  <w:szCs w:val="24"/>
                </w:rPr>
                <w:t>Recommendation ITU-T G.709/Y.1331 “Interfaces for the optical transport network”</w:t>
              </w:r>
            </w:hyperlink>
            <w:r w:rsidR="00A11163" w:rsidRPr="004567E2">
              <w:rPr>
                <w:rFonts w:ascii="Times New Roman" w:hAnsi="Times New Roman" w:cs="Times New Roman"/>
                <w:sz w:val="24"/>
                <w:szCs w:val="24"/>
              </w:rPr>
              <w:t xml:space="preserve"> defines the requirements for the optical transport network (OTN) interface signals of the optical transport network, in terms of:</w:t>
            </w:r>
            <w:r w:rsidR="00A11163" w:rsidRPr="004567E2">
              <w:rPr>
                <w:rFonts w:ascii="Times New Roman" w:hAnsi="Times New Roman" w:cs="Times New Roman"/>
                <w:sz w:val="24"/>
                <w:szCs w:val="24"/>
              </w:rPr>
              <w:br/>
              <w:t>– OTN hierarchy</w:t>
            </w:r>
            <w:r w:rsidR="00A11163" w:rsidRPr="004567E2">
              <w:rPr>
                <w:rFonts w:ascii="Times New Roman" w:hAnsi="Times New Roman" w:cs="Times New Roman"/>
                <w:sz w:val="24"/>
                <w:szCs w:val="24"/>
              </w:rPr>
              <w:br/>
              <w:t>– functionality of the overhead in support of multi-wavelength optical networks</w:t>
            </w:r>
            <w:r w:rsidR="00A11163" w:rsidRPr="004567E2">
              <w:rPr>
                <w:rFonts w:ascii="Times New Roman" w:hAnsi="Times New Roman" w:cs="Times New Roman"/>
                <w:sz w:val="24"/>
                <w:szCs w:val="24"/>
              </w:rPr>
              <w:br/>
              <w:t>– frame structures</w:t>
            </w:r>
            <w:r w:rsidR="00A11163" w:rsidRPr="004567E2">
              <w:rPr>
                <w:rFonts w:ascii="Times New Roman" w:hAnsi="Times New Roman" w:cs="Times New Roman"/>
                <w:sz w:val="24"/>
                <w:szCs w:val="24"/>
              </w:rPr>
              <w:br/>
              <w:t>– bit rates</w:t>
            </w:r>
            <w:r w:rsidR="00A11163" w:rsidRPr="004567E2">
              <w:rPr>
                <w:rFonts w:ascii="Times New Roman" w:hAnsi="Times New Roman" w:cs="Times New Roman"/>
                <w:sz w:val="24"/>
                <w:szCs w:val="24"/>
              </w:rPr>
              <w:br/>
              <w:t>– formats for mapping client signals.</w:t>
            </w:r>
            <w:r w:rsidR="00A11163" w:rsidRPr="004567E2">
              <w:rPr>
                <w:rFonts w:ascii="Times New Roman" w:hAnsi="Times New Roman" w:cs="Times New Roman"/>
                <w:sz w:val="24"/>
                <w:szCs w:val="24"/>
              </w:rPr>
              <w:br/>
              <w:t>Edition 5.0 of this Recommendation includes the text of Amendments 2, 3, 4, Corrigendum 2 and Erratum 1 to Edition 4.0 of this Recommendation, support for frequency and time synchronisation, addition of Beyond 100 Gbit/s OTU, ODU and OPU frame formats, overhead, ODU multiplexing, client mappings and optical layer terminology updates. Edition 5.0 furthermore deleted the OPUk concatenation specifications and the ATM mapping into OPUk specification and changed the TCM ACT and FTFL overhead bytes into EXP overhead bytes.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59" w:tooltip="Flexible OTN short-reach interface" w:history="1">
              <w:r w:rsidR="00A11163" w:rsidRPr="004567E2">
                <w:rPr>
                  <w:rStyle w:val="Hyperlink"/>
                  <w:rFonts w:ascii="Times New Roman" w:hAnsi="Times New Roman" w:cs="Times New Roman"/>
                  <w:sz w:val="24"/>
                  <w:szCs w:val="24"/>
                </w:rPr>
                <w:t>Recommendation ITU-T G.709.1/Y.1331.1 “Flexible OTN short-reach interfaces”</w:t>
              </w:r>
            </w:hyperlink>
            <w:r w:rsidR="00A11163" w:rsidRPr="004567E2">
              <w:rPr>
                <w:rFonts w:ascii="Times New Roman" w:hAnsi="Times New Roman" w:cs="Times New Roman"/>
                <w:sz w:val="24"/>
                <w:szCs w:val="24"/>
              </w:rPr>
              <w:t xml:space="preserve"> specifies a set of flexible interoperable short-reach OTN interface over which an OTUCn (n ≥ 1) is transferred, using bonded interfaces. The Recommendation defines the frame structure for FlexO using the RS(544,514) FEC.</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60" w:history="1">
              <w:r w:rsidR="00A11163" w:rsidRPr="004567E2">
                <w:rPr>
                  <w:rStyle w:val="Hyperlink"/>
                  <w:rFonts w:ascii="Times New Roman" w:hAnsi="Times New Roman" w:cs="Times New Roman"/>
                  <w:sz w:val="24"/>
                  <w:szCs w:val="24"/>
                </w:rPr>
                <w:t>Recommendation ITU-T G.709.2 “OTU4 long-reach interface”</w:t>
              </w:r>
            </w:hyperlink>
            <w:r w:rsidR="00A11163" w:rsidRPr="004567E2">
              <w:rPr>
                <w:rFonts w:ascii="Times New Roman" w:hAnsi="Times New Roman" w:cs="Times New Roman"/>
                <w:sz w:val="24"/>
                <w:szCs w:val="24"/>
              </w:rPr>
              <w:t xml:space="preserve"> specifies functions for an OTU4 long reach interconnect application. The text of this recommendation is intentionally kept separate from the main G.709 text and from other adjoints like the G.709.1 text.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61" w:history="1">
              <w:r w:rsidR="00A11163" w:rsidRPr="004567E2">
                <w:rPr>
                  <w:rStyle w:val="Hyperlink"/>
                  <w:rFonts w:ascii="Times New Roman" w:hAnsi="Times New Roman" w:cs="Times New Roman"/>
                  <w:sz w:val="24"/>
                  <w:szCs w:val="24"/>
                </w:rPr>
                <w:t>Recommendation ITU-T G.709.3 “Flexible OTN long-reach interface”</w:t>
              </w:r>
            </w:hyperlink>
            <w:r w:rsidR="00A11163" w:rsidRPr="004567E2">
              <w:rPr>
                <w:rFonts w:ascii="Times New Roman" w:hAnsi="Times New Roman" w:cs="Times New Roman"/>
                <w:sz w:val="24"/>
                <w:szCs w:val="24"/>
              </w:rPr>
              <w:t xml:space="preserve"> (under approval) specifies a flexible interoperable long-reach OTN interface over which an OTUCn (n ≥ 1) is transferred, using bonded interfaces. The Recommendation defines the frame format for FlexO using the Staircase FEC for higher coding gain than the FlexO described in G.709.1.</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sz w:val="24"/>
                <w:szCs w:val="24"/>
              </w:rPr>
              <w:t xml:space="preserve">Recommendation ITU-T G.709.3/Y.1331.3 Amd.1 “Flexible OTN long-reach interfaces: Amendment 1” </w:t>
            </w:r>
            <w:r w:rsidRPr="004567E2">
              <w:rPr>
                <w:rStyle w:val="Hyperlink"/>
                <w:rFonts w:ascii="Times New Roman" w:hAnsi="Times New Roman" w:cs="Times New Roman"/>
                <w:color w:val="auto"/>
                <w:sz w:val="24"/>
                <w:szCs w:val="24"/>
                <w:u w:val="none"/>
              </w:rPr>
              <w:t>contains extensions to the first edition (06/2018) of ITU-T Recommendation G.709.3/Y.1331.3, related to the:</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w:t>
            </w:r>
            <w:r w:rsidRPr="004567E2">
              <w:rPr>
                <w:rStyle w:val="Hyperlink"/>
                <w:rFonts w:ascii="Times New Roman" w:hAnsi="Times New Roman" w:cs="Times New Roman"/>
                <w:color w:val="auto"/>
                <w:sz w:val="24"/>
                <w:szCs w:val="24"/>
                <w:u w:val="none"/>
              </w:rPr>
              <w:tab/>
              <w:t>Enhancement of the FEC Block Alignment specification (11.3.1)</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w:t>
            </w:r>
            <w:r w:rsidRPr="004567E2">
              <w:rPr>
                <w:rStyle w:val="Hyperlink"/>
                <w:rFonts w:ascii="Times New Roman" w:hAnsi="Times New Roman" w:cs="Times New Roman"/>
                <w:color w:val="auto"/>
                <w:sz w:val="24"/>
                <w:szCs w:val="24"/>
                <w:u w:val="none"/>
              </w:rPr>
              <w:tab/>
              <w:t>Addition of 200G and 400G FlexO with Concatenated FEC (7, 7.2, 11.3, 11.3.1, 11.3.2, 12, 13, 14, 15, Annex C, Annex D, Appendix I, Appendix II)</w:t>
            </w:r>
          </w:p>
          <w:p w:rsidR="00A11163" w:rsidRPr="004567E2" w:rsidRDefault="00A11163" w:rsidP="00A11163">
            <w:pPr>
              <w:widowControl w:val="0"/>
              <w:rPr>
                <w:rStyle w:val="Hyperlink"/>
                <w:rFonts w:ascii="Times New Roman" w:hAnsi="Times New Roman" w:cs="Times New Roman"/>
                <w:sz w:val="24"/>
                <w:szCs w:val="24"/>
              </w:rPr>
            </w:pPr>
            <w:r w:rsidRPr="004567E2">
              <w:rPr>
                <w:rStyle w:val="Hyperlink"/>
                <w:rFonts w:ascii="Times New Roman" w:hAnsi="Times New Roman" w:cs="Times New Roman"/>
                <w:color w:val="auto"/>
                <w:sz w:val="24"/>
                <w:szCs w:val="24"/>
                <w:u w:val="none"/>
              </w:rPr>
              <w:t>-</w:t>
            </w:r>
            <w:r w:rsidRPr="004567E2">
              <w:rPr>
                <w:rStyle w:val="Hyperlink"/>
                <w:rFonts w:ascii="Times New Roman" w:hAnsi="Times New Roman" w:cs="Times New Roman"/>
                <w:color w:val="auto"/>
                <w:sz w:val="24"/>
                <w:szCs w:val="24"/>
                <w:u w:val="none"/>
              </w:rPr>
              <w:tab/>
              <w:t>Deletion of m and n and addition of Z conventions (5).</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62" w:history="1">
              <w:r w:rsidR="00A11163" w:rsidRPr="004567E2">
                <w:rPr>
                  <w:rStyle w:val="Hyperlink"/>
                  <w:rFonts w:ascii="Times New Roman" w:hAnsi="Times New Roman" w:cs="Times New Roman"/>
                  <w:sz w:val="24"/>
                  <w:szCs w:val="24"/>
                </w:rPr>
                <w:t>Recommendation ITU-T G.781 “Synchronization layer functions”</w:t>
              </w:r>
            </w:hyperlink>
            <w:r w:rsidR="00A11163" w:rsidRPr="004567E2">
              <w:rPr>
                <w:rFonts w:ascii="Times New Roman" w:hAnsi="Times New Roman" w:cs="Times New Roman"/>
                <w:sz w:val="24"/>
                <w:szCs w:val="24"/>
              </w:rPr>
              <w:t xml:space="preserve"> defines the atomic functions that are part of the two synchronization layers, the synchronization distribution (SD) layer and the network synchronization (NS) layer. It also defines some atomic functions, part of the transport layer, which are related to synchronization.</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These functions describe the synchronization of SDH, Ethernet, and OTN NEs and how these NEs are involved in Network Synchronization.</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The specifications in this Recommendation are the superset of functionality of three regional standards bodies. Care should be taken when selecting from this Recommendation.</w:t>
            </w:r>
          </w:p>
          <w:p w:rsidR="00A11163" w:rsidRPr="004567E2" w:rsidRDefault="00A11163" w:rsidP="00A11163">
            <w:pPr>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 xml:space="preserve">Not every atomic function defined in this Recommendation is required for every application. Different subsets of atomic functions may be assembled in different ways according to the combination rules given in Recommendations ITU-T G.783, </w:t>
            </w:r>
            <w:r w:rsidRPr="004567E2">
              <w:rPr>
                <w:rFonts w:ascii="Times New Roman" w:hAnsi="Times New Roman" w:cs="Times New Roman"/>
                <w:sz w:val="24"/>
                <w:szCs w:val="24"/>
              </w:rPr>
              <w:lastRenderedPageBreak/>
              <w:t>ITU-T G.705, ITU-T G.8021, ITU-T G.8121, and ITU-T G.798 to provide a variety of different capabilities. Network operators and equipment suppliers may choose which functions must be implemented for each application.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63" w:history="1">
              <w:r w:rsidR="00A11163" w:rsidRPr="004567E2">
                <w:rPr>
                  <w:rStyle w:val="Hyperlink"/>
                  <w:rFonts w:ascii="Times New Roman" w:hAnsi="Times New Roman" w:cs="Times New Roman"/>
                  <w:sz w:val="24"/>
                  <w:szCs w:val="24"/>
                </w:rPr>
                <w:t>Recommendation ITU-T G.798 “Characteristics of optical transport network hierarchy equipment functional blocks”</w:t>
              </w:r>
            </w:hyperlink>
            <w:r w:rsidR="00A11163" w:rsidRPr="004567E2">
              <w:rPr>
                <w:rFonts w:ascii="Times New Roman" w:hAnsi="Times New Roman" w:cs="Times New Roman"/>
                <w:sz w:val="24"/>
                <w:szCs w:val="24"/>
              </w:rPr>
              <w:t xml:space="preserve"> specifies both the components and the methodology that should be used in order to specify the optical transport network (OTN) functionality of network elements; it does not specify individual optical transport network equipment.</w:t>
            </w:r>
          </w:p>
          <w:p w:rsidR="00A11163" w:rsidRPr="004567E2" w:rsidRDefault="00A11163" w:rsidP="00A11163">
            <w:pPr>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Edition 6.0 of this Recommendation includes the text of Amendments 1, 2 and 3, as well as Corrigendum 1 to Edition 5.0 of this Recommendation, addition of Beyond 100 Gbit/s OTU and ODU functions and optical layer terminology updates. Edition 6.0 furthermore deleted the ODU virtual concatenation functions and the ODUkP to ATM adaptation function and removed the processing of the TCM ACT and FTFL overhead bytes.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64" w:history="1">
              <w:r w:rsidR="00A11163" w:rsidRPr="004567E2">
                <w:rPr>
                  <w:rStyle w:val="Hyperlink"/>
                  <w:rFonts w:ascii="Times New Roman" w:hAnsi="Times New Roman" w:cs="Times New Roman"/>
                  <w:sz w:val="24"/>
                  <w:szCs w:val="24"/>
                </w:rPr>
                <w:t>Recommendation ITU-T G.798 (2017) Amd.1 "Characteristics of optical transport network hierarchy equipment functional blocks"</w:t>
              </w:r>
            </w:hyperlink>
            <w:r w:rsidR="00A11163" w:rsidRPr="004567E2">
              <w:rPr>
                <w:rFonts w:ascii="Times New Roman" w:hAnsi="Times New Roman" w:cs="Times New Roman"/>
                <w:sz w:val="24"/>
                <w:szCs w:val="24"/>
              </w:rPr>
              <w:t xml:space="preserve"> contains text modifications and additions:</w:t>
            </w:r>
          </w:p>
          <w:p w:rsidR="00A11163" w:rsidRPr="004567E2" w:rsidRDefault="00A11163" w:rsidP="00A11163">
            <w:pPr>
              <w:pStyle w:val="ListParagraph"/>
              <w:numPr>
                <w:ilvl w:val="0"/>
                <w:numId w:val="12"/>
              </w:numPr>
              <w:contextualSpacing w:val="0"/>
              <w:rPr>
                <w:rFonts w:ascii="Times New Roman" w:hAnsi="Times New Roman" w:cs="Times New Roman"/>
                <w:sz w:val="24"/>
                <w:szCs w:val="24"/>
              </w:rPr>
            </w:pPr>
            <w:r w:rsidRPr="004567E2">
              <w:rPr>
                <w:rFonts w:ascii="Times New Roman" w:hAnsi="Times New Roman" w:cs="Times New Roman"/>
                <w:sz w:val="24"/>
                <w:szCs w:val="24"/>
              </w:rPr>
              <w:t>moving the ODUkP to Ethernet MAC layer and Ethernet Reconciliation sublayer adaptation functions from ITU-T G.8021 to ITU-T G.798.</w:t>
            </w:r>
          </w:p>
          <w:p w:rsidR="00A11163" w:rsidRPr="004567E2" w:rsidRDefault="00A11163" w:rsidP="00A11163">
            <w:pPr>
              <w:pStyle w:val="ListParagraph"/>
              <w:numPr>
                <w:ilvl w:val="0"/>
                <w:numId w:val="12"/>
              </w:numPr>
              <w:contextualSpacing w:val="0"/>
              <w:rPr>
                <w:rFonts w:ascii="Times New Roman" w:hAnsi="Times New Roman" w:cs="Times New Roman"/>
                <w:sz w:val="24"/>
                <w:szCs w:val="24"/>
              </w:rPr>
            </w:pPr>
            <w:r w:rsidRPr="004567E2">
              <w:rPr>
                <w:rFonts w:ascii="Times New Roman" w:hAnsi="Times New Roman" w:cs="Times New Roman"/>
                <w:sz w:val="24"/>
                <w:szCs w:val="24"/>
              </w:rPr>
              <w:t>to support adaptation of ODUkP to Ethernet Coding sublayer for 25 Gb/s, 200 Gb/s and 400 Gb/s Ethernet signals.</w:t>
            </w:r>
          </w:p>
          <w:p w:rsidR="00A11163" w:rsidRPr="004567E2" w:rsidRDefault="00A11163" w:rsidP="00A11163">
            <w:pPr>
              <w:pStyle w:val="ListParagraph"/>
              <w:numPr>
                <w:ilvl w:val="0"/>
                <w:numId w:val="12"/>
              </w:numPr>
              <w:contextualSpacing w:val="0"/>
              <w:rPr>
                <w:rFonts w:ascii="Times New Roman" w:hAnsi="Times New Roman" w:cs="Times New Roman"/>
                <w:sz w:val="24"/>
                <w:szCs w:val="24"/>
              </w:rPr>
            </w:pPr>
            <w:r w:rsidRPr="004567E2">
              <w:rPr>
                <w:rFonts w:ascii="Times New Roman" w:hAnsi="Times New Roman" w:cs="Times New Roman"/>
                <w:sz w:val="24"/>
                <w:szCs w:val="24"/>
              </w:rPr>
              <w:t>to align with ITU-T G.8023.</w:t>
            </w:r>
          </w:p>
          <w:p w:rsidR="00A11163" w:rsidRPr="004567E2" w:rsidRDefault="00A11163" w:rsidP="00A11163">
            <w:pPr>
              <w:pStyle w:val="ListParagraph"/>
              <w:numPr>
                <w:ilvl w:val="0"/>
                <w:numId w:val="12"/>
              </w:numPr>
              <w:contextualSpacing w:val="0"/>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replacing Appendix VIII to align with ITU-T G.872 and G.873.1.</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65" w:history="1">
              <w:r w:rsidR="00A11163" w:rsidRPr="004567E2">
                <w:rPr>
                  <w:rStyle w:val="Hyperlink"/>
                  <w:rFonts w:ascii="Times New Roman" w:hAnsi="Times New Roman" w:cs="Times New Roman"/>
                  <w:sz w:val="24"/>
                  <w:szCs w:val="24"/>
                </w:rPr>
                <w:t>Recommendation ITU-T G.808 “Terms and definitions for network protection and restoration”</w:t>
              </w:r>
            </w:hyperlink>
            <w:r w:rsidR="00A11163" w:rsidRPr="004567E2">
              <w:rPr>
                <w:rFonts w:ascii="Times New Roman" w:hAnsi="Times New Roman" w:cs="Times New Roman"/>
                <w:sz w:val="24"/>
                <w:szCs w:val="24"/>
              </w:rPr>
              <w:t xml:space="preserve"> provides terms, definitions and abbreviations used in Recommendations that describe network protection and restoration. It contains a list of the definitions and abbreviations introduced in Recommendations associated with network protection and restoration. This Recommendation can be considered to be a companion to Recommendations ITU-T G.870/Y.1352, ITU-T </w:t>
            </w:r>
            <w:r w:rsidR="00A11163" w:rsidRPr="004567E2">
              <w:rPr>
                <w:rFonts w:ascii="Times New Roman" w:hAnsi="Times New Roman" w:cs="Times New Roman"/>
                <w:sz w:val="24"/>
                <w:szCs w:val="24"/>
              </w:rPr>
              <w:lastRenderedPageBreak/>
              <w:t>G.8001/Y.1354, ITU-T G.8081/Y.1353 and ITU-T G.8101/Y.1355. The goal of this Recommendation is to be a single normative source for terms in this subject area.</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366" w:history="1">
              <w:r w:rsidR="00A11163" w:rsidRPr="004567E2">
                <w:rPr>
                  <w:rStyle w:val="Hyperlink"/>
                  <w:rFonts w:ascii="Times New Roman" w:hAnsi="Times New Roman" w:cs="Times New Roman"/>
                  <w:sz w:val="24"/>
                  <w:szCs w:val="24"/>
                </w:rPr>
                <w:t>Recommendation ITU-T G.808 “Terms and definitions for network protection and restoration - Amendment 1”</w:t>
              </w:r>
            </w:hyperlink>
            <w:r w:rsidR="00A11163" w:rsidRPr="004567E2">
              <w:rPr>
                <w:rStyle w:val="Hyperlink"/>
                <w:rFonts w:ascii="Times New Roman" w:hAnsi="Times New Roman" w:cs="Times New Roman"/>
                <w:color w:val="auto"/>
                <w:sz w:val="24"/>
                <w:szCs w:val="24"/>
                <w:u w:val="none"/>
              </w:rPr>
              <w:t xml:space="preserve"> provides terms, definitions and abbreviations used in Recommendations that describe network protection and restoration. It contains a list of the definitions and abbreviations introduced in Recommendations associated with network protection and restoration. This Recommendation can be considered to be a companion to Recommendations ITU T G.870/Y.1352, ITU T G.8001/Y.1354, ITU T G.8081/Y.1353 and ITU T G.8101/Y.1355. The goal of this Recommendation is to be a single normative source for terms in this subject area.</w:t>
            </w:r>
          </w:p>
          <w:p w:rsidR="00A11163" w:rsidRPr="004567E2" w:rsidRDefault="00A11163" w:rsidP="00A11163">
            <w:pPr>
              <w:widowControl w:val="0"/>
              <w:rPr>
                <w:rStyle w:val="Hyperlink"/>
                <w:rFonts w:ascii="Times New Roman" w:hAnsi="Times New Roman" w:cs="Times New Roman"/>
                <w:sz w:val="24"/>
                <w:szCs w:val="24"/>
              </w:rPr>
            </w:pPr>
            <w:r w:rsidRPr="004567E2">
              <w:rPr>
                <w:rStyle w:val="Hyperlink"/>
                <w:rFonts w:ascii="Times New Roman" w:hAnsi="Times New Roman" w:cs="Times New Roman"/>
                <w:color w:val="auto"/>
                <w:sz w:val="24"/>
                <w:szCs w:val="24"/>
                <w:u w:val="none"/>
              </w:rPr>
              <w:t>Amendment 1 clarifies the terms used to describe the time intervals related to protection switching (clause 3.2.9).</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67" w:history="1">
              <w:r w:rsidR="00A11163" w:rsidRPr="004567E2">
                <w:rPr>
                  <w:rStyle w:val="Hyperlink"/>
                  <w:rFonts w:ascii="Times New Roman" w:hAnsi="Times New Roman" w:cs="Times New Roman"/>
                  <w:sz w:val="24"/>
                  <w:szCs w:val="24"/>
                </w:rPr>
                <w:t>Recommendation ITU-T G.808.1 “Generic protection switching – Linear trail and subnetwork protection”</w:t>
              </w:r>
            </w:hyperlink>
            <w:r w:rsidR="00A11163" w:rsidRPr="004567E2">
              <w:rPr>
                <w:rFonts w:ascii="Times New Roman" w:hAnsi="Times New Roman" w:cs="Times New Roman"/>
                <w:sz w:val="24"/>
                <w:szCs w:val="24"/>
              </w:rPr>
              <w:t xml:space="preserve"> defines the generic functional models, characteristics and processes associated with various linear protection schemes for circuit-switched connection-oriented layer networks; e.g., optical transport networks (OTN), synchronous digital hierarchy (SDH) networks and packet-switched layer networks, e.g., asynchronous transfer mode (ATM) networks and Ethernet transport networks.</w:t>
            </w:r>
            <w:r w:rsidR="00A11163" w:rsidRPr="004567E2">
              <w:rPr>
                <w:rFonts w:ascii="Times New Roman" w:hAnsi="Times New Roman" w:cs="Times New Roman"/>
                <w:sz w:val="24"/>
                <w:szCs w:val="24"/>
              </w:rPr>
              <w:br/>
              <w:t>It also defines the objectives and applications for these schemes. Protection schemes described in this Recommendation are trail protection and subnetwork connection protection with various monitoring alternatives for individual signals or groups of signals. Furthermore, survivability offered by the link capacity adjustment scheme (LCAS) is described.</w:t>
            </w:r>
            <w:r w:rsidR="00A11163" w:rsidRPr="004567E2">
              <w:rPr>
                <w:rFonts w:ascii="Times New Roman" w:hAnsi="Times New Roman" w:cs="Times New Roman"/>
                <w:sz w:val="24"/>
                <w:szCs w:val="24"/>
              </w:rPr>
              <w:br/>
              <w:t>Generic functional models, characteristics and processes for ring protection and interconnected subnetwork (e.g., ring) protection schemes are defined in other Recommendations.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68" w:history="1">
              <w:r w:rsidR="00A11163" w:rsidRPr="004567E2">
                <w:rPr>
                  <w:rStyle w:val="Hyperlink"/>
                  <w:rFonts w:ascii="Times New Roman" w:hAnsi="Times New Roman" w:cs="Times New Roman"/>
                  <w:sz w:val="24"/>
                  <w:szCs w:val="24"/>
                </w:rPr>
                <w:t>Recommendation ITU-T G.808.2 “Generic protection switching – Ring protection”</w:t>
              </w:r>
            </w:hyperlink>
            <w:r w:rsidR="00A11163" w:rsidRPr="004567E2">
              <w:rPr>
                <w:rFonts w:ascii="Times New Roman" w:hAnsi="Times New Roman" w:cs="Times New Roman"/>
                <w:sz w:val="24"/>
                <w:szCs w:val="24"/>
              </w:rPr>
              <w:t xml:space="preserve"> defines the generic functional models, characteristics and processes associated with </w:t>
            </w:r>
            <w:r w:rsidR="00A11163" w:rsidRPr="004567E2">
              <w:rPr>
                <w:rFonts w:ascii="Times New Roman" w:hAnsi="Times New Roman" w:cs="Times New Roman"/>
                <w:sz w:val="24"/>
                <w:szCs w:val="24"/>
              </w:rPr>
              <w:lastRenderedPageBreak/>
              <w:t>various ring protection schemes for connection oriented networks; e.g., optical transport networks (OTNs), synchronous digital hierarchy (SDH) networks. It also defines the objectives and applications for these schemes. The protection scheme described in this Recommendation is shared ring protection.</w:t>
            </w:r>
            <w:r w:rsidR="00A11163" w:rsidRPr="004567E2">
              <w:rPr>
                <w:rFonts w:ascii="Times New Roman" w:hAnsi="Times New Roman" w:cs="Times New Roman"/>
                <w:sz w:val="24"/>
                <w:szCs w:val="24"/>
              </w:rPr>
              <w:br/>
              <w:t>Generic functional models, characteristics and processes for linear protection and interconnected subnetwork protection schemes are defined in other Recommendations.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69" w:history="1">
              <w:r w:rsidR="00A11163" w:rsidRPr="004567E2">
                <w:rPr>
                  <w:rStyle w:val="Hyperlink"/>
                  <w:rFonts w:ascii="Times New Roman" w:hAnsi="Times New Roman" w:cs="Times New Roman"/>
                  <w:sz w:val="24"/>
                  <w:szCs w:val="24"/>
                </w:rPr>
                <w:t>Recommendation ITU-T G.811.1 “Timing characteristics of enhanced primary reference clocks”</w:t>
              </w:r>
            </w:hyperlink>
            <w:r w:rsidR="00A11163" w:rsidRPr="004567E2">
              <w:rPr>
                <w:rFonts w:ascii="Times New Roman" w:hAnsi="Times New Roman" w:cs="Times New Roman"/>
                <w:sz w:val="24"/>
                <w:szCs w:val="24"/>
              </w:rPr>
              <w:t xml:space="preserve"> outlines the requirements for enhanced primary reference clocks (ePRCs) suitable for frequency synchronization. These requirements apply under the normal environmental conditions specified for the equipment.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70" w:history="1">
              <w:r w:rsidR="00A11163" w:rsidRPr="004567E2">
                <w:rPr>
                  <w:rStyle w:val="Hyperlink"/>
                  <w:rFonts w:ascii="Times New Roman" w:hAnsi="Times New Roman" w:cs="Times New Roman"/>
                  <w:sz w:val="24"/>
                  <w:szCs w:val="24"/>
                </w:rPr>
                <w:t>Recommendation ITU-T G.821 “Error performance of an international digital connection operating at a bit rate below the primary rate and forming part of an Integrated Services Digital Network”</w:t>
              </w:r>
            </w:hyperlink>
            <w:r w:rsidR="00A11163" w:rsidRPr="004567E2">
              <w:rPr>
                <w:rFonts w:ascii="Times New Roman" w:hAnsi="Times New Roman" w:cs="Times New Roman"/>
                <w:sz w:val="24"/>
                <w:szCs w:val="24"/>
              </w:rPr>
              <w:t xml:space="preserve"> defines error performance parameters and objectives for international digital connections operating below the primary rate of the digital hierarchy, using equipment designed prior to the adoption of revised ITU-T Rec. G.826 on 14 December 2002. The objectives given are independent of the physical network supporting the connection. This Recommendation is based upon bit error and bit error ratio measurements. The events, parameters and objectives are defined accordingly. Annex A deals with the definition of availability of the connection.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71" w:tooltip="Controlled slip rate objectives on an international digital connection" w:history="1">
              <w:r w:rsidR="00A11163" w:rsidRPr="004567E2">
                <w:rPr>
                  <w:rStyle w:val="Hyperlink"/>
                  <w:rFonts w:ascii="Times New Roman" w:hAnsi="Times New Roman" w:cs="Times New Roman"/>
                  <w:sz w:val="24"/>
                  <w:szCs w:val="24"/>
                </w:rPr>
                <w:t>Recommendation ITU-T G.822 “Controlled slip rate objectives on an international digital connection”</w:t>
              </w:r>
            </w:hyperlink>
            <w:r w:rsidR="00A11163" w:rsidRPr="004567E2">
              <w:rPr>
                <w:rFonts w:ascii="Times New Roman" w:hAnsi="Times New Roman" w:cs="Times New Roman"/>
                <w:sz w:val="24"/>
                <w:szCs w:val="24"/>
              </w:rPr>
              <w:t xml:space="preserve"> </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72" w:tooltip="The control of jitter and wander within digital networks which are based on the 2048 kbit/s hierarchy" w:history="1">
              <w:r w:rsidR="00A11163" w:rsidRPr="004567E2">
                <w:rPr>
                  <w:rStyle w:val="Hyperlink"/>
                  <w:rFonts w:ascii="Times New Roman" w:hAnsi="Times New Roman" w:cs="Times New Roman"/>
                  <w:sz w:val="24"/>
                  <w:szCs w:val="24"/>
                </w:rPr>
                <w:t>Recommendation ITU-T G.823 “The control of jitter and wander within digital networks which are based on the 2048 kbit/s hierarchy”</w:t>
              </w:r>
            </w:hyperlink>
            <w:r w:rsidR="00A11163" w:rsidRPr="004567E2">
              <w:rPr>
                <w:rFonts w:ascii="Times New Roman" w:hAnsi="Times New Roman" w:cs="Times New Roman"/>
                <w:sz w:val="24"/>
                <w:szCs w:val="24"/>
              </w:rPr>
              <w:t xml:space="preserve"> specifies the maximum network limits of jitter and wander that shall not be exceeded and the minimum equipment tolerance to jitter and wander that shall be provided at any relevant transport or synchronization interfaces which are based on the 2048 kbit/s hierarchy. The requirements for the jitter and wander characteristics that are </w:t>
            </w:r>
            <w:r w:rsidR="00A11163" w:rsidRPr="004567E2">
              <w:rPr>
                <w:rFonts w:ascii="Times New Roman" w:hAnsi="Times New Roman" w:cs="Times New Roman"/>
                <w:sz w:val="24"/>
                <w:szCs w:val="24"/>
              </w:rPr>
              <w:lastRenderedPageBreak/>
              <w:t>specified in this ITU-T Recommendation must be adhered to in order to ensure interoperability of equipment produced by different manufacturers and a satisfactory network performance.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73" w:tooltip="The control of jitter and wander within digital networks which are based on the 1544 kbit/s hierarchy" w:history="1">
              <w:r w:rsidR="00A11163" w:rsidRPr="004567E2">
                <w:rPr>
                  <w:rStyle w:val="Hyperlink"/>
                  <w:rFonts w:ascii="Times New Roman" w:hAnsi="Times New Roman" w:cs="Times New Roman"/>
                  <w:sz w:val="24"/>
                  <w:szCs w:val="24"/>
                </w:rPr>
                <w:t>Recommendation ITU-T G.824 “The control of jitter and wander within digital networks which are based on the 1544 kbit/s hierarchy”</w:t>
              </w:r>
            </w:hyperlink>
            <w:r w:rsidR="00A11163" w:rsidRPr="004567E2">
              <w:rPr>
                <w:rFonts w:ascii="Times New Roman" w:hAnsi="Times New Roman" w:cs="Times New Roman"/>
                <w:sz w:val="24"/>
                <w:szCs w:val="24"/>
              </w:rPr>
              <w:t xml:space="preserve"> specifies the maximum network limits of jitter and wander that shall not be exceeded at relevant transport or synchronization network interfaces and the minimum equipment tolerance to jitter and wander that shall be provided at any relevant synchronization or transport interface. The requirements for jitter and wander characteristics that are specified in this ITU-T Recommendation must be adhered to ensure interoperability of equipment produced by different manufacturers and satisfactory network performance.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74" w:history="1">
              <w:r w:rsidR="00A11163" w:rsidRPr="004567E2">
                <w:rPr>
                  <w:rStyle w:val="Hyperlink"/>
                  <w:rFonts w:ascii="Times New Roman" w:hAnsi="Times New Roman" w:cs="Times New Roman"/>
                  <w:sz w:val="24"/>
                  <w:szCs w:val="24"/>
                </w:rPr>
                <w:t>Recommendation ITU-T G.825 “The control of jitter and wander within digital networks which are based on the synchronous digital hierarchy (SDH)”</w:t>
              </w:r>
            </w:hyperlink>
            <w:r w:rsidR="00A11163" w:rsidRPr="004567E2">
              <w:rPr>
                <w:rFonts w:ascii="Times New Roman" w:hAnsi="Times New Roman" w:cs="Times New Roman"/>
                <w:sz w:val="24"/>
                <w:szCs w:val="24"/>
              </w:rPr>
              <w:t xml:space="preserve"> specifies the maximum network limits of jitter and wander that shall not be exceeded and the minimum equipment tolerance to jitter and wander that shall be provided at any relevant transport or synchronization interfaces which are based on the Synchronous Digital Hierarchy (SDH).The requirements for the jitter and wander characteristics that are specified in this ITU-T Recommendation must be adhered to in order to ensure interoperability of equipment produced by different manufacturers and a satisfactory network performance.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75" w:history="1">
              <w:r w:rsidR="00A11163" w:rsidRPr="004567E2">
                <w:rPr>
                  <w:rStyle w:val="Hyperlink"/>
                  <w:rFonts w:ascii="Times New Roman" w:hAnsi="Times New Roman" w:cs="Times New Roman"/>
                  <w:sz w:val="24"/>
                  <w:szCs w:val="24"/>
                </w:rPr>
                <w:t>Recommendation ITU-T G.826 “End-to-end error performance parameters and objectives for international, constant bit-rate digital paths and connections”</w:t>
              </w:r>
            </w:hyperlink>
            <w:r w:rsidR="00A11163" w:rsidRPr="004567E2">
              <w:rPr>
                <w:rFonts w:ascii="Times New Roman" w:hAnsi="Times New Roman" w:cs="Times New Roman"/>
                <w:sz w:val="24"/>
                <w:szCs w:val="24"/>
              </w:rPr>
              <w:t xml:space="preserve"> defines end-to-end error performance parameters and objectives for international digital paths which operate at or above the primary rate and for international digital connections which operate below the primary rate of the digital hierarchy. The objectives given are independent of the physical network supporting the path or connection. For digital paths which operate at or above the primary rate, this Recommendation is based upon a block-based measurement concept using error </w:t>
            </w:r>
            <w:r w:rsidR="00A11163" w:rsidRPr="004567E2">
              <w:rPr>
                <w:rFonts w:ascii="Times New Roman" w:hAnsi="Times New Roman" w:cs="Times New Roman"/>
                <w:sz w:val="24"/>
                <w:szCs w:val="24"/>
              </w:rPr>
              <w:lastRenderedPageBreak/>
              <w:t>detection codes inherent to the path under test. This supports in-service measurements. For digital connections which operate below the primary rate of the digital hierarchy, this Recommendation is based upon bit error and bit error ratio measurements. This approach does not support in-service measurements. Annex A deals with the definition of availability of the path or connection. Annexes B, C and D give specific information concerning PDH, SDH and cell-based transmission paths. It is not required to apply this Recommendation to connections which operate below the primary rate using equipment designed prior to the adoption of this Recommendation in December 2002.This Recommendation deals with the performance of PDH paths, and of those SDH paths using equipment designed prior to the adoption of ITU-T Rec. G.828 in March 2000. ITU-T Rec. G.828 deals with the performance of SDH paths using equipment designed as of or after the adoption of ITU-T Rec. G.828 in March 2000. New Recommendation G.8201 deals with performance of ODUk paths of the OTN.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76" w:history="1">
              <w:r w:rsidR="00A11163" w:rsidRPr="004567E2">
                <w:rPr>
                  <w:rStyle w:val="Hyperlink"/>
                  <w:rFonts w:ascii="Times New Roman" w:hAnsi="Times New Roman" w:cs="Times New Roman"/>
                  <w:sz w:val="24"/>
                  <w:szCs w:val="24"/>
                </w:rPr>
                <w:t>Recommendation ITU-T G.827 “Availability performance parameters and objectives for end-to-end international constant bit-rate digital paths”</w:t>
              </w:r>
            </w:hyperlink>
            <w:r w:rsidR="00A11163" w:rsidRPr="004567E2">
              <w:rPr>
                <w:rFonts w:ascii="Times New Roman" w:hAnsi="Times New Roman" w:cs="Times New Roman"/>
                <w:sz w:val="24"/>
                <w:szCs w:val="24"/>
              </w:rPr>
              <w:t xml:space="preserve"> defines network performance parameters and objectives for the path elements and end-to-end availability of international constant bit-rate digital paths. These parameters are independent of the type of physical network supporting the end-to-end path, e.g., optical fibre, radio relay or satellite. Guidance is included on methods for improving availability and calculating the end-to-end availability of a combination of network elements.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77" w:tooltip="Error performance parameters and objectives for international, constant bit-rate synchronous digital paths" w:history="1">
              <w:r w:rsidR="00A11163" w:rsidRPr="004567E2">
                <w:rPr>
                  <w:rStyle w:val="Hyperlink"/>
                  <w:rFonts w:ascii="Times New Roman" w:hAnsi="Times New Roman" w:cs="Times New Roman"/>
                  <w:sz w:val="24"/>
                  <w:szCs w:val="24"/>
                </w:rPr>
                <w:t>Recommendation ITU-T G.828 “Error performance parameters and objectives for international, constant bit-rate synchronous digital paths”</w:t>
              </w:r>
            </w:hyperlink>
            <w:r w:rsidR="00A11163" w:rsidRPr="004567E2">
              <w:rPr>
                <w:rFonts w:ascii="Times New Roman" w:hAnsi="Times New Roman" w:cs="Times New Roman"/>
                <w:sz w:val="24"/>
                <w:szCs w:val="24"/>
              </w:rPr>
              <w:t xml:space="preserve"> defines error performance parameters and objectives for international synchronous digital paths. While this Recommendation specifically addresses objectives for international digital paths, the allocation principles can be applied to the design of error performance for national or private synchronous digital paths. The objectives given are independent of the physical network supporting the path. This Recommendation is based upon a </w:t>
            </w:r>
            <w:r w:rsidR="00A11163" w:rsidRPr="004567E2">
              <w:rPr>
                <w:rFonts w:ascii="Times New Roman" w:hAnsi="Times New Roman" w:cs="Times New Roman"/>
                <w:sz w:val="24"/>
                <w:szCs w:val="24"/>
              </w:rPr>
              <w:lastRenderedPageBreak/>
              <w:t>block-based measurement concept using error detection codes inherent to the path under test; the block repetition rate being in accordance with SDH technology. This simplifies in-service measurements. The events, parameters and objectives are defined accordingly. In addition to path performance assessment, tandem connection monitoring is covered. It is not required to apply this Recommendation to SDH paths using equipment designed prior to the date of adoption of this version of ITU-T Recommendation G.828 (March 2000).</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78" w:tooltip="Error performance events for SDH multiplex and regenerator sections" w:history="1">
              <w:r w:rsidR="00A11163" w:rsidRPr="004567E2">
                <w:rPr>
                  <w:rStyle w:val="Hyperlink"/>
                  <w:rFonts w:ascii="Times New Roman" w:hAnsi="Times New Roman" w:cs="Times New Roman"/>
                  <w:sz w:val="24"/>
                  <w:szCs w:val="24"/>
                </w:rPr>
                <w:t>Recommendation ITU-T G.829 “Error performance events for SDH multiplex and regenerator sections”</w:t>
              </w:r>
            </w:hyperlink>
            <w:r w:rsidR="00A11163" w:rsidRPr="004567E2">
              <w:rPr>
                <w:rFonts w:ascii="Times New Roman" w:hAnsi="Times New Roman" w:cs="Times New Roman"/>
                <w:sz w:val="24"/>
                <w:szCs w:val="24"/>
              </w:rPr>
              <w:t xml:space="preserve"> specifies error performance parameters and objectives of international, constant bit rate synchronous digital paths. Error performance objectives of ITU-T Rec. G.828 refer to the hypothetical reference path (HRP) of a length of 27 500 km. ITU-T Rec. G.828 does not contain information on path elements.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79" w:history="1">
              <w:r w:rsidR="00A11163" w:rsidRPr="004567E2">
                <w:rPr>
                  <w:rStyle w:val="Hyperlink"/>
                  <w:rFonts w:ascii="Times New Roman" w:hAnsi="Times New Roman" w:cs="Times New Roman"/>
                  <w:sz w:val="24"/>
                  <w:szCs w:val="24"/>
                </w:rPr>
                <w:t>Recommendation ITU-T G.873.1 “Optical transport network (OTN): Linear protection”</w:t>
              </w:r>
            </w:hyperlink>
            <w:r w:rsidR="00A11163" w:rsidRPr="004567E2">
              <w:rPr>
                <w:rFonts w:ascii="Times New Roman" w:hAnsi="Times New Roman" w:cs="Times New Roman"/>
                <w:sz w:val="24"/>
                <w:szCs w:val="24"/>
              </w:rPr>
              <w:t xml:space="preserve"> defines the automatic protection switching (APS) protocol and protection switching operation for the linear protection schemes for the optical transport network at the optical data unit k (ODUk) level. Protection schemes considered in this Recommendation are:</w:t>
            </w:r>
            <w:r w:rsidR="00A11163" w:rsidRPr="004567E2">
              <w:rPr>
                <w:rFonts w:ascii="Times New Roman" w:hAnsi="Times New Roman" w:cs="Times New Roman"/>
                <w:sz w:val="24"/>
                <w:szCs w:val="24"/>
              </w:rPr>
              <w:br/>
              <w:t>– ODUk subnetwork connection protection with inherent monitoring (1+1, 1:n);</w:t>
            </w:r>
            <w:r w:rsidR="00A11163" w:rsidRPr="004567E2">
              <w:rPr>
                <w:rFonts w:ascii="Times New Roman" w:hAnsi="Times New Roman" w:cs="Times New Roman"/>
                <w:sz w:val="24"/>
                <w:szCs w:val="24"/>
              </w:rPr>
              <w:br/>
              <w:t>– ODUk subnetwork connection protection with non-intrusive monitoring (1+1);</w:t>
            </w:r>
            <w:r w:rsidR="00A11163" w:rsidRPr="004567E2">
              <w:rPr>
                <w:rFonts w:ascii="Times New Roman" w:hAnsi="Times New Roman" w:cs="Times New Roman"/>
                <w:sz w:val="24"/>
                <w:szCs w:val="24"/>
              </w:rPr>
              <w:br/>
              <w:t>– ODUk subnetwork connection protection with sublayer monitoring (1+1, 1:n).</w:t>
            </w:r>
            <w:r w:rsidR="00A11163" w:rsidRPr="004567E2">
              <w:rPr>
                <w:rFonts w:ascii="Times New Roman" w:hAnsi="Times New Roman" w:cs="Times New Roman"/>
                <w:sz w:val="24"/>
                <w:szCs w:val="24"/>
              </w:rPr>
              <w:br/>
              <w:t>– ODUk compound link subnetwork connection group protection with inherent monitoring (1+1, 1:1).</w:t>
            </w:r>
            <w:r w:rsidR="00A11163" w:rsidRPr="004567E2">
              <w:rPr>
                <w:rFonts w:ascii="Times New Roman" w:hAnsi="Times New Roman" w:cs="Times New Roman"/>
                <w:sz w:val="24"/>
                <w:szCs w:val="24"/>
              </w:rPr>
              <w:br/>
              <w:t>In addition, client-related protection architectures are described.</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80" w:history="1">
              <w:r w:rsidR="00A11163" w:rsidRPr="004567E2">
                <w:rPr>
                  <w:rStyle w:val="Hyperlink"/>
                  <w:rFonts w:ascii="Times New Roman" w:hAnsi="Times New Roman" w:cs="Times New Roman"/>
                  <w:sz w:val="24"/>
                  <w:szCs w:val="24"/>
                </w:rPr>
                <w:t>Recommendation ITU-T G.873.2 “ODUk shared ring protection”</w:t>
              </w:r>
            </w:hyperlink>
            <w:r w:rsidR="00A11163" w:rsidRPr="004567E2">
              <w:rPr>
                <w:rFonts w:ascii="Times New Roman" w:hAnsi="Times New Roman" w:cs="Times New Roman"/>
                <w:sz w:val="24"/>
                <w:szCs w:val="24"/>
              </w:rPr>
              <w:t xml:space="preserve"> provides the first set of necessary equipment-level specifications to implement shared ring protection architectures in optical transport networks (OTNs). In this version of the Recommendation shared ring protection on base of wrapping method is specified.</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81" w:history="1">
              <w:r w:rsidR="00A11163" w:rsidRPr="004567E2">
                <w:rPr>
                  <w:rStyle w:val="Hyperlink"/>
                  <w:rFonts w:ascii="Times New Roman" w:hAnsi="Times New Roman" w:cs="Times New Roman"/>
                  <w:bCs/>
                  <w:iCs/>
                  <w:sz w:val="24"/>
                  <w:szCs w:val="24"/>
                </w:rPr>
                <w:t xml:space="preserve">Recommendation ITU-T G.873.3 “OTN protection switching - Shared Mesh </w:t>
              </w:r>
              <w:r w:rsidR="00A11163" w:rsidRPr="004567E2">
                <w:rPr>
                  <w:rStyle w:val="Hyperlink"/>
                  <w:rFonts w:ascii="Times New Roman" w:hAnsi="Times New Roman" w:cs="Times New Roman"/>
                  <w:bCs/>
                  <w:iCs/>
                  <w:sz w:val="24"/>
                  <w:szCs w:val="24"/>
                </w:rPr>
                <w:lastRenderedPageBreak/>
                <w:t>Protection”</w:t>
              </w:r>
            </w:hyperlink>
            <w:r w:rsidR="00A11163" w:rsidRPr="004567E2">
              <w:rPr>
                <w:rFonts w:ascii="Times New Roman" w:hAnsi="Times New Roman" w:cs="Times New Roman"/>
                <w:bCs/>
                <w:iCs/>
                <w:sz w:val="24"/>
                <w:szCs w:val="24"/>
              </w:rPr>
              <w:t xml:space="preserve"> defines the protocol and protection switching operation for shared mesh protection for the OTN at the ODU layer.</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82" w:history="1">
              <w:r w:rsidR="00A11163" w:rsidRPr="004567E2">
                <w:rPr>
                  <w:rStyle w:val="Hyperlink"/>
                  <w:rFonts w:ascii="Times New Roman" w:hAnsi="Times New Roman" w:cs="Times New Roman"/>
                  <w:bCs/>
                  <w:iCs/>
                  <w:sz w:val="24"/>
                  <w:szCs w:val="24"/>
                </w:rPr>
                <w:t>Recommendation ITU-T G.874 “Management aspects of optical transport network elements”</w:t>
              </w:r>
            </w:hyperlink>
            <w:r w:rsidR="00A11163" w:rsidRPr="004567E2">
              <w:rPr>
                <w:rFonts w:ascii="Times New Roman" w:hAnsi="Times New Roman" w:cs="Times New Roman"/>
                <w:bCs/>
                <w:iCs/>
                <w:sz w:val="24"/>
                <w:szCs w:val="24"/>
              </w:rPr>
              <w:t xml:space="preserve"> addresses management aspects of optical transport network elements containing transport functions of one or more of the layer networks of the optical transport network. The management of the optical layer networks is separable from that of its client layer networks so that the same means of management can be used regardless of the client. The management functions for fault management, configuration management and performance monitoring are specified.</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A11163" w:rsidP="00A11163">
            <w:pPr>
              <w:widowControl w:val="0"/>
              <w:rPr>
                <w:rStyle w:val="Hyperlink"/>
                <w:rFonts w:ascii="Times New Roman" w:hAnsi="Times New Roman" w:cs="Times New Roman"/>
                <w:bCs/>
                <w:iCs/>
                <w:color w:val="auto"/>
                <w:sz w:val="24"/>
                <w:szCs w:val="24"/>
                <w:u w:val="none"/>
              </w:rPr>
            </w:pPr>
            <w:r w:rsidRPr="004567E2">
              <w:rPr>
                <w:rStyle w:val="Hyperlink"/>
                <w:rFonts w:ascii="Times New Roman" w:hAnsi="Times New Roman" w:cs="Times New Roman"/>
                <w:bCs/>
                <w:iCs/>
                <w:sz w:val="24"/>
                <w:szCs w:val="24"/>
              </w:rPr>
              <w:t xml:space="preserve">Recommendation ITU-T G.875 “Optical transport network: Protocol-neutral management information model for the network element view” (under approval) </w:t>
            </w:r>
            <w:r w:rsidRPr="004567E2">
              <w:rPr>
                <w:rStyle w:val="Hyperlink"/>
                <w:rFonts w:ascii="Times New Roman" w:hAnsi="Times New Roman" w:cs="Times New Roman"/>
                <w:bCs/>
                <w:iCs/>
                <w:color w:val="auto"/>
                <w:sz w:val="24"/>
                <w:szCs w:val="24"/>
                <w:u w:val="none"/>
              </w:rPr>
              <w:t>provides a protocol-neutral management information model for managing network elements in the optical transport network (OTN). The model contains the managed entities and their properties that are useful to describe the information exchanged across interfaces defined in the ITU-T M.3010 telecommunications management network (TMN) architecture. The protocol-neutral management information model shall be used as the base for defining protocol-specific management information models, for example, common management information service element (CMISE), common object request broker architecture (CORBA) and simple network management protocol (SNMP) information models. Mapping from the protocol-neutral entities into protocol-specific objects is a decision of the specific protocol modelling design and should be described in the protocol-specific information model Recommendations.</w:t>
            </w:r>
          </w:p>
          <w:p w:rsidR="00A11163" w:rsidRPr="004567E2" w:rsidRDefault="00A11163" w:rsidP="00A11163">
            <w:pPr>
              <w:widowControl w:val="0"/>
              <w:rPr>
                <w:rStyle w:val="Hyperlink"/>
                <w:rFonts w:ascii="Times New Roman" w:hAnsi="Times New Roman" w:cs="Times New Roman"/>
                <w:bCs/>
                <w:iCs/>
                <w:color w:val="auto"/>
                <w:sz w:val="24"/>
                <w:szCs w:val="24"/>
                <w:u w:val="none"/>
              </w:rPr>
            </w:pPr>
            <w:r w:rsidRPr="004567E2">
              <w:rPr>
                <w:rStyle w:val="Hyperlink"/>
                <w:rFonts w:ascii="Times New Roman" w:hAnsi="Times New Roman" w:cs="Times New Roman"/>
                <w:bCs/>
                <w:iCs/>
                <w:color w:val="auto"/>
                <w:sz w:val="24"/>
                <w:szCs w:val="24"/>
                <w:u w:val="none"/>
              </w:rPr>
              <w:t>The 2012 revision of this Recommendation updated the management information model to support the management of the new transport functions that were introduced in the 2010 revision of Recommendation ITU-T G.798 and also to support the management requirements enhancement introduced in the 2010 revision of Recommendation ITU-T G.874.</w:t>
            </w:r>
          </w:p>
          <w:p w:rsidR="00A11163" w:rsidRPr="004567E2" w:rsidRDefault="00A11163" w:rsidP="00A11163">
            <w:pPr>
              <w:widowControl w:val="0"/>
              <w:rPr>
                <w:rStyle w:val="Hyperlink"/>
                <w:rFonts w:ascii="Times New Roman" w:hAnsi="Times New Roman" w:cs="Times New Roman"/>
                <w:bCs/>
                <w:iCs/>
                <w:color w:val="auto"/>
                <w:sz w:val="24"/>
                <w:szCs w:val="24"/>
                <w:u w:val="none"/>
              </w:rPr>
            </w:pPr>
            <w:r w:rsidRPr="004567E2">
              <w:rPr>
                <w:rStyle w:val="Hyperlink"/>
                <w:rFonts w:ascii="Times New Roman" w:hAnsi="Times New Roman" w:cs="Times New Roman"/>
                <w:bCs/>
                <w:iCs/>
                <w:color w:val="auto"/>
                <w:sz w:val="24"/>
                <w:szCs w:val="24"/>
                <w:u w:val="none"/>
              </w:rPr>
              <w:t xml:space="preserve">Amendment 1 enhanced the model to cover delay measurement (DM), automatic </w:t>
            </w:r>
            <w:r w:rsidRPr="004567E2">
              <w:rPr>
                <w:rStyle w:val="Hyperlink"/>
                <w:rFonts w:ascii="Times New Roman" w:hAnsi="Times New Roman" w:cs="Times New Roman"/>
                <w:bCs/>
                <w:iCs/>
                <w:color w:val="auto"/>
                <w:sz w:val="24"/>
                <w:szCs w:val="24"/>
                <w:u w:val="none"/>
              </w:rPr>
              <w:lastRenderedPageBreak/>
              <w:t>protection switching (APS) configuration, tributary slot configuration, and optical data channel data (ODU) type and rate configuration, and to remove the counting of incoming alignment errors (IAEs) and backward incoming alignment errors (BIAEs).</w:t>
            </w:r>
          </w:p>
          <w:p w:rsidR="00A11163" w:rsidRPr="004567E2" w:rsidRDefault="00A11163" w:rsidP="00A11163">
            <w:pPr>
              <w:widowControl w:val="0"/>
              <w:rPr>
                <w:rStyle w:val="Hyperlink"/>
                <w:rFonts w:ascii="Times New Roman" w:hAnsi="Times New Roman" w:cs="Times New Roman"/>
                <w:bCs/>
                <w:iCs/>
                <w:color w:val="auto"/>
                <w:sz w:val="24"/>
                <w:szCs w:val="24"/>
                <w:u w:val="none"/>
              </w:rPr>
            </w:pPr>
            <w:r w:rsidRPr="004567E2">
              <w:rPr>
                <w:rStyle w:val="Hyperlink"/>
                <w:rFonts w:ascii="Times New Roman" w:hAnsi="Times New Roman" w:cs="Times New Roman"/>
                <w:bCs/>
                <w:iCs/>
                <w:color w:val="auto"/>
                <w:sz w:val="24"/>
                <w:szCs w:val="24"/>
                <w:u w:val="none"/>
              </w:rPr>
              <w:t>Amendment 2 added: (1) the use of an organizationally unique identifier (OUI) to the description of the attributes selectedApplicationIdentifier and supportableApplicationIdentifierList; and (2) sub-classes the OTN Current Data and History Data object classes from the ITU-T Q.822 Current Data and History Data object classes.</w:t>
            </w:r>
          </w:p>
          <w:p w:rsidR="00A11163" w:rsidRPr="004567E2" w:rsidRDefault="00A11163" w:rsidP="00A11163">
            <w:pPr>
              <w:widowControl w:val="0"/>
              <w:rPr>
                <w:rStyle w:val="Hyperlink"/>
                <w:rFonts w:ascii="Times New Roman" w:hAnsi="Times New Roman" w:cs="Times New Roman"/>
                <w:bCs/>
                <w:iCs/>
                <w:color w:val="auto"/>
                <w:sz w:val="24"/>
                <w:szCs w:val="24"/>
                <w:u w:val="none"/>
              </w:rPr>
            </w:pPr>
            <w:r w:rsidRPr="004567E2">
              <w:rPr>
                <w:rStyle w:val="Hyperlink"/>
                <w:rFonts w:ascii="Times New Roman" w:hAnsi="Times New Roman" w:cs="Times New Roman"/>
                <w:bCs/>
                <w:iCs/>
                <w:color w:val="auto"/>
                <w:sz w:val="24"/>
                <w:szCs w:val="24"/>
                <w:u w:val="none"/>
              </w:rPr>
              <w:t>The 2016 revision of this Recommendation has incorporated Amendment 1 and Amendment 2, and in addition the following updates: (1) changes the UML modeling tool from RSA to open source Papyrus tool; (2) updates the ITU-T G.874.1 information model to align with the ITU-T G.7711 v2.0 Core information model; (3) drops subclassing the TP classes from ITU-T M.3160; and (4) supports the additional management requirements in Recommendation ITU-T G.874.</w:t>
            </w:r>
          </w:p>
          <w:p w:rsidR="00A11163" w:rsidRPr="004567E2" w:rsidRDefault="00A11163" w:rsidP="00A11163">
            <w:pPr>
              <w:widowControl w:val="0"/>
              <w:rPr>
                <w:rStyle w:val="Hyperlink"/>
                <w:rFonts w:ascii="Times New Roman" w:hAnsi="Times New Roman" w:cs="Times New Roman"/>
                <w:bCs/>
                <w:iCs/>
                <w:sz w:val="24"/>
                <w:szCs w:val="24"/>
              </w:rPr>
            </w:pPr>
            <w:r w:rsidRPr="004567E2">
              <w:rPr>
                <w:rStyle w:val="Hyperlink"/>
                <w:rFonts w:ascii="Times New Roman" w:hAnsi="Times New Roman" w:cs="Times New Roman"/>
                <w:bCs/>
                <w:iCs/>
                <w:color w:val="auto"/>
                <w:sz w:val="24"/>
                <w:szCs w:val="24"/>
                <w:u w:val="none"/>
              </w:rPr>
              <w:t>The 2018 revision of this Recommendation up-versions the UML model tool to Papyrus v3.2.0 and the profile to v0.2.13, updates the object class mapping figures to align with G.798, updates the model for ODU, OTU, FlexO, OTSiG-O, OCh-O, OMS-O, &amp; OTS-O, and adds Annex A for OTN Spec Model.</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83" w:history="1">
              <w:r w:rsidR="00A11163" w:rsidRPr="004567E2">
                <w:rPr>
                  <w:rStyle w:val="Hyperlink"/>
                  <w:rFonts w:ascii="Times New Roman" w:hAnsi="Times New Roman" w:cs="Times New Roman"/>
                  <w:bCs/>
                  <w:iCs/>
                  <w:sz w:val="24"/>
                  <w:szCs w:val="24"/>
                </w:rPr>
                <w:t>Recommendation ITU-T G.959.1 “Optical transport networks physical layer interfaces”</w:t>
              </w:r>
            </w:hyperlink>
            <w:r w:rsidR="00A11163" w:rsidRPr="004567E2">
              <w:rPr>
                <w:rFonts w:ascii="Times New Roman" w:hAnsi="Times New Roman" w:cs="Times New Roman"/>
                <w:bCs/>
                <w:iCs/>
                <w:sz w:val="24"/>
                <w:szCs w:val="24"/>
              </w:rPr>
              <w:t xml:space="preserve"> provides physical layer inter-domain interface (IrDI) specifications for optical networks which may employ wavelength division multiplexing (WDM). The IrDIs within the optical transport network (OTN) are provided by unidirectional, point-to-point, single and multichannel line systems. Their primary purpose is to enable transversely compatible interfaces to span the boundary between two administrative domains. The IrDI specifications include intra-office, short-haul and long-haul applications, without line amplifiers. This version of this Recommendation includes multichannel interfaces suitable for FOIC2.4 (200G striped across four physical lanes) and FOIC4.8 (400G striped across eight physical </w:t>
            </w:r>
            <w:r w:rsidR="00A11163" w:rsidRPr="004567E2">
              <w:rPr>
                <w:rFonts w:ascii="Times New Roman" w:hAnsi="Times New Roman" w:cs="Times New Roman"/>
                <w:bCs/>
                <w:iCs/>
                <w:sz w:val="24"/>
                <w:szCs w:val="24"/>
              </w:rPr>
              <w:lastRenderedPageBreak/>
              <w:t>lanes).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84" w:history="1">
              <w:r w:rsidR="00A11163" w:rsidRPr="004567E2">
                <w:rPr>
                  <w:rStyle w:val="Hyperlink"/>
                  <w:rFonts w:ascii="Times New Roman" w:hAnsi="Times New Roman" w:cs="Times New Roman"/>
                  <w:bCs/>
                  <w:iCs/>
                  <w:sz w:val="24"/>
                  <w:szCs w:val="24"/>
                </w:rPr>
                <w:t>Recommendation ITU-T G.971 “General features of optical fibre submarine cable systems”</w:t>
              </w:r>
            </w:hyperlink>
            <w:r w:rsidR="00A11163" w:rsidRPr="004567E2">
              <w:rPr>
                <w:rFonts w:ascii="Times New Roman" w:hAnsi="Times New Roman" w:cs="Times New Roman"/>
                <w:bCs/>
                <w:iCs/>
                <w:sz w:val="24"/>
                <w:szCs w:val="24"/>
              </w:rPr>
              <w:t xml:space="preserve"> </w:t>
            </w:r>
            <w:r w:rsidR="00A11163" w:rsidRPr="004567E2">
              <w:rPr>
                <w:rFonts w:ascii="Times New Roman" w:hAnsi="Times New Roman" w:cs="Times New Roman"/>
                <w:sz w:val="24"/>
                <w:szCs w:val="24"/>
              </w:rPr>
              <w:t>identifies the main features of optical fibre submarine cable systems, and provides generic information on relevant Recommendations in the field of optical fibre submarine cable systems. A common implementation relevant to all the optical fibre submarine cable systems is described in Annex A. Specific information relevant to each optical fibre submarine cable systems is included in annexes of other Recommendations. The updated data on cable ships and submersible equipment of various countries are also described in Appendix I.</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85" w:history="1">
              <w:r w:rsidR="00A11163" w:rsidRPr="004567E2">
                <w:rPr>
                  <w:rStyle w:val="Hyperlink"/>
                  <w:rFonts w:ascii="Times New Roman" w:hAnsi="Times New Roman" w:cs="Times New Roman"/>
                  <w:bCs/>
                  <w:iCs/>
                  <w:sz w:val="24"/>
                  <w:szCs w:val="24"/>
                </w:rPr>
                <w:t>Recommendation ITU-T G.972 “Definition of terms relevant to optical fibre submarine cable systems”</w:t>
              </w:r>
            </w:hyperlink>
            <w:r w:rsidR="00A11163" w:rsidRPr="004567E2">
              <w:rPr>
                <w:rFonts w:ascii="Times New Roman" w:hAnsi="Times New Roman" w:cs="Times New Roman"/>
                <w:bCs/>
                <w:iCs/>
                <w:sz w:val="24"/>
                <w:szCs w:val="24"/>
              </w:rPr>
              <w:t xml:space="preserve"> </w:t>
            </w:r>
            <w:r w:rsidR="00A11163" w:rsidRPr="004567E2">
              <w:rPr>
                <w:rFonts w:ascii="Times New Roman" w:hAnsi="Times New Roman" w:cs="Times New Roman"/>
                <w:sz w:val="24"/>
                <w:szCs w:val="24"/>
              </w:rPr>
              <w:t>provides definitions of terms relevant to optical fibre submarine cable systems, including terms relevant to system configuration, system aspects, terminal equipment, optical submarine repeaters and branching units, optical fibre submarine cable, manufacturing and installation, and the maintenance of the submarine portion.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86" w:history="1">
              <w:r w:rsidR="00A11163" w:rsidRPr="004567E2">
                <w:rPr>
                  <w:rStyle w:val="Hyperlink"/>
                  <w:rFonts w:ascii="Times New Roman" w:hAnsi="Times New Roman" w:cs="Times New Roman"/>
                  <w:bCs/>
                  <w:iCs/>
                  <w:sz w:val="24"/>
                  <w:szCs w:val="24"/>
                </w:rPr>
                <w:t>Recommendation ITU-T G.973 “</w:t>
              </w:r>
              <w:r w:rsidR="00A11163" w:rsidRPr="004567E2">
                <w:rPr>
                  <w:rStyle w:val="Hyperlink"/>
                  <w:rFonts w:ascii="Times New Roman" w:hAnsi="Times New Roman" w:cs="Times New Roman"/>
                  <w:sz w:val="24"/>
                  <w:szCs w:val="24"/>
                </w:rPr>
                <w:t>Characteristics of repeaterless optical fibre submarine cable systems”</w:t>
              </w:r>
            </w:hyperlink>
            <w:r w:rsidR="00A11163" w:rsidRPr="004567E2">
              <w:rPr>
                <w:rFonts w:ascii="Times New Roman" w:hAnsi="Times New Roman" w:cs="Times New Roman"/>
                <w:sz w:val="24"/>
                <w:szCs w:val="24"/>
              </w:rPr>
              <w:t xml:space="preserve"> is concerned primarily with the system performance and interface requirements of repeaterless optical fibre submarine cable systems. It considers both single wavelength systems (SWS), wavelength division multiplexing systems (WDMS), and dense wavelength division multiplexing systems (DWDMS). It also covers the aspects related to the applications of discrete optical fibre amplifiers (OFAs) (power amplifiers, pre-amplifiers, remote optically pumped amplifiers) and/or distributed remotely pumped OFAs using Raman amplification.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87" w:history="1">
              <w:r w:rsidR="00A11163" w:rsidRPr="004567E2">
                <w:rPr>
                  <w:rStyle w:val="Hyperlink"/>
                  <w:rFonts w:ascii="Times New Roman" w:hAnsi="Times New Roman" w:cs="Times New Roman"/>
                  <w:bCs/>
                  <w:iCs/>
                  <w:sz w:val="24"/>
                  <w:szCs w:val="24"/>
                </w:rPr>
                <w:t>Recommendation ITU-T G.973.1 “</w:t>
              </w:r>
              <w:r w:rsidR="00A11163" w:rsidRPr="004567E2">
                <w:rPr>
                  <w:rStyle w:val="Hyperlink"/>
                  <w:rFonts w:ascii="Times New Roman" w:hAnsi="Times New Roman" w:cs="Times New Roman"/>
                  <w:sz w:val="24"/>
                  <w:szCs w:val="24"/>
                </w:rPr>
                <w:t>Longitudinally compatible DWDM applications for repeaterless optical fibre submarine cable systems</w:t>
              </w:r>
              <w:r w:rsidR="00A11163" w:rsidRPr="004567E2">
                <w:rPr>
                  <w:rStyle w:val="Hyperlink"/>
                  <w:rFonts w:ascii="Times New Roman" w:hAnsi="Times New Roman" w:cs="Times New Roman"/>
                  <w:bCs/>
                  <w:iCs/>
                  <w:sz w:val="24"/>
                  <w:szCs w:val="24"/>
                </w:rPr>
                <w:t>”</w:t>
              </w:r>
            </w:hyperlink>
            <w:r w:rsidR="00A11163" w:rsidRPr="004567E2">
              <w:rPr>
                <w:rFonts w:ascii="Times New Roman" w:hAnsi="Times New Roman" w:cs="Times New Roman"/>
                <w:bCs/>
                <w:iCs/>
                <w:sz w:val="24"/>
                <w:szCs w:val="24"/>
              </w:rPr>
              <w:t xml:space="preserve"> </w:t>
            </w:r>
            <w:r w:rsidR="00A11163" w:rsidRPr="004567E2">
              <w:rPr>
                <w:rFonts w:ascii="Times New Roman" w:hAnsi="Times New Roman" w:cs="Times New Roman"/>
                <w:sz w:val="24"/>
                <w:szCs w:val="24"/>
              </w:rPr>
              <w:t xml:space="preserve">provides physical layer specifications for dense wavelength division multiplexing (DWDM) applications for repeaterless optical fibre submarine cable systems. Longitudinally compatible applications for DWDM applications for repeaterless optical fibre submarine cable </w:t>
            </w:r>
            <w:r w:rsidR="00A11163" w:rsidRPr="004567E2">
              <w:rPr>
                <w:rFonts w:ascii="Times New Roman" w:hAnsi="Times New Roman" w:cs="Times New Roman"/>
                <w:sz w:val="24"/>
                <w:szCs w:val="24"/>
              </w:rPr>
              <w:lastRenderedPageBreak/>
              <w:t>systems are described for point-to-point, multichannel line systems without remotely pumped optical amplifiers. The primary purpose is to enable multiple vendors to design DWDM transmission equipment for submarine fibre links that are compliant with this Recommendation.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88" w:history="1">
              <w:r w:rsidR="00A11163" w:rsidRPr="004567E2">
                <w:rPr>
                  <w:rStyle w:val="Hyperlink"/>
                  <w:rFonts w:ascii="Times New Roman" w:hAnsi="Times New Roman" w:cs="Times New Roman"/>
                  <w:bCs/>
                  <w:iCs/>
                  <w:sz w:val="24"/>
                  <w:szCs w:val="24"/>
                </w:rPr>
                <w:t>Recommendation ITU-T G.973.2 “</w:t>
              </w:r>
              <w:r w:rsidR="00A11163" w:rsidRPr="004567E2">
                <w:rPr>
                  <w:rStyle w:val="Hyperlink"/>
                  <w:rFonts w:ascii="Times New Roman" w:hAnsi="Times New Roman" w:cs="Times New Roman"/>
                  <w:sz w:val="24"/>
                  <w:szCs w:val="24"/>
                </w:rPr>
                <w:t>Multichannel DWDM applications with single channel optical interfaces for repeaterless optical fibre submarine cable systems</w:t>
              </w:r>
              <w:r w:rsidR="00A11163" w:rsidRPr="004567E2">
                <w:rPr>
                  <w:rStyle w:val="Hyperlink"/>
                  <w:rFonts w:ascii="Times New Roman" w:hAnsi="Times New Roman" w:cs="Times New Roman"/>
                  <w:bCs/>
                  <w:iCs/>
                  <w:sz w:val="24"/>
                  <w:szCs w:val="24"/>
                </w:rPr>
                <w:t>”</w:t>
              </w:r>
            </w:hyperlink>
            <w:r w:rsidR="00A11163" w:rsidRPr="004567E2">
              <w:rPr>
                <w:rFonts w:ascii="Times New Roman" w:hAnsi="Times New Roman" w:cs="Times New Roman"/>
                <w:bCs/>
                <w:iCs/>
                <w:sz w:val="24"/>
                <w:szCs w:val="24"/>
              </w:rPr>
              <w:t xml:space="preserve"> </w:t>
            </w:r>
            <w:r w:rsidR="00A11163" w:rsidRPr="004567E2">
              <w:rPr>
                <w:rFonts w:ascii="Times New Roman" w:hAnsi="Times New Roman" w:cs="Times New Roman"/>
                <w:sz w:val="24"/>
                <w:szCs w:val="24"/>
              </w:rPr>
              <w:t>provides optical interface specifications towards the realization of transversely compatible Dense Wavelength Division Multiplexing (DWDM) systems intended for repeaterless submarine applications. This Recommendation defines parameters for single-channel optical interface of physical point-to-point DWDM applications on single-mode optical fibres through the use of the "black-link" approach. Applications containing DWDM optical amplifiers are not defined in this Recommendation. This Recommendation describes DWDM systems that include the following features:- Channel frequency spacing: 100 GHz and below (defined in [ITU-T G.694.1])- Bit-rate of signal channel: up to 10 Gbit/s.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89" w:history="1">
              <w:r w:rsidR="00A11163" w:rsidRPr="004567E2">
                <w:rPr>
                  <w:rStyle w:val="Hyperlink"/>
                  <w:rFonts w:ascii="Times New Roman" w:hAnsi="Times New Roman" w:cs="Times New Roman"/>
                  <w:bCs/>
                  <w:iCs/>
                  <w:sz w:val="24"/>
                  <w:szCs w:val="24"/>
                </w:rPr>
                <w:t>Recommendation ITU-T G.974 “</w:t>
              </w:r>
              <w:r w:rsidR="00A11163" w:rsidRPr="004567E2">
                <w:rPr>
                  <w:rStyle w:val="Hyperlink"/>
                  <w:rFonts w:ascii="Times New Roman" w:hAnsi="Times New Roman" w:cs="Times New Roman"/>
                  <w:sz w:val="24"/>
                  <w:szCs w:val="24"/>
                </w:rPr>
                <w:t>Characteristics of regenerative optical fibre submarine cable systems</w:t>
              </w:r>
              <w:r w:rsidR="00A11163" w:rsidRPr="004567E2">
                <w:rPr>
                  <w:rStyle w:val="Hyperlink"/>
                  <w:rFonts w:ascii="Times New Roman" w:hAnsi="Times New Roman" w:cs="Times New Roman"/>
                  <w:bCs/>
                  <w:iCs/>
                  <w:sz w:val="24"/>
                  <w:szCs w:val="24"/>
                </w:rPr>
                <w:t>”</w:t>
              </w:r>
            </w:hyperlink>
            <w:r w:rsidR="00A11163" w:rsidRPr="004567E2">
              <w:rPr>
                <w:rFonts w:ascii="Times New Roman" w:hAnsi="Times New Roman" w:cs="Times New Roman"/>
                <w:bCs/>
                <w:iCs/>
                <w:sz w:val="24"/>
                <w:szCs w:val="24"/>
              </w:rPr>
              <w:t xml:space="preserve"> </w:t>
            </w:r>
            <w:r w:rsidR="00A11163" w:rsidRPr="004567E2">
              <w:rPr>
                <w:rFonts w:ascii="Times New Roman" w:hAnsi="Times New Roman" w:cs="Times New Roman"/>
                <w:sz w:val="24"/>
                <w:szCs w:val="24"/>
              </w:rPr>
              <w:t>is concerned primarily with the system performance and interface requirements of regenerative optical fibre submarine cable systems. The physical implementation of such systems is considered separately in Annex A. Common items relevant to all the optical fibre submarine cable systems and the characteristics of optical fibre submarine cables are described in [ITU-T G.971], and [ITU-T G.978], respectively.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90" w:history="1">
              <w:r w:rsidR="00A11163" w:rsidRPr="004567E2">
                <w:rPr>
                  <w:rStyle w:val="Hyperlink"/>
                  <w:rFonts w:ascii="Times New Roman" w:hAnsi="Times New Roman" w:cs="Times New Roman"/>
                  <w:bCs/>
                  <w:iCs/>
                  <w:sz w:val="24"/>
                  <w:szCs w:val="24"/>
                </w:rPr>
                <w:t>Recommendation ITU-T G.975 “</w:t>
              </w:r>
              <w:r w:rsidR="00A11163" w:rsidRPr="004567E2">
                <w:rPr>
                  <w:rStyle w:val="Hyperlink"/>
                  <w:rFonts w:ascii="Times New Roman" w:hAnsi="Times New Roman" w:cs="Times New Roman"/>
                  <w:sz w:val="24"/>
                  <w:szCs w:val="24"/>
                </w:rPr>
                <w:t>Forward error correction for submarine systems</w:t>
              </w:r>
              <w:r w:rsidR="00A11163" w:rsidRPr="004567E2">
                <w:rPr>
                  <w:rStyle w:val="Hyperlink"/>
                  <w:rFonts w:ascii="Times New Roman" w:hAnsi="Times New Roman" w:cs="Times New Roman"/>
                  <w:bCs/>
                  <w:iCs/>
                  <w:sz w:val="24"/>
                  <w:szCs w:val="24"/>
                </w:rPr>
                <w:t>”</w:t>
              </w:r>
            </w:hyperlink>
            <w:r w:rsidR="00A11163" w:rsidRPr="004567E2">
              <w:rPr>
                <w:rFonts w:ascii="Times New Roman" w:hAnsi="Times New Roman" w:cs="Times New Roman"/>
                <w:bCs/>
                <w:iCs/>
                <w:sz w:val="24"/>
                <w:szCs w:val="24"/>
              </w:rPr>
              <w:t xml:space="preserve"> </w:t>
            </w:r>
            <w:r w:rsidR="00A11163" w:rsidRPr="004567E2">
              <w:rPr>
                <w:rFonts w:ascii="Times New Roman" w:hAnsi="Times New Roman" w:cs="Times New Roman"/>
                <w:sz w:val="24"/>
                <w:szCs w:val="24"/>
              </w:rPr>
              <w:t>is primarily concerned with the implementation of a Forward Error Correction (FEC) function in the multigigabit-per-second optical fibre submarine cable systems. The applications being addressed in this Recommendation are both optically amplified repeatered systems and repeaterless optical systems (described in ITU-T G.973 [3]). The use of this FEC function in submarine terminal transmission equipment is not mandatory.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91" w:history="1">
              <w:r w:rsidR="00A11163" w:rsidRPr="004567E2">
                <w:rPr>
                  <w:rStyle w:val="Hyperlink"/>
                  <w:rFonts w:ascii="Times New Roman" w:hAnsi="Times New Roman" w:cs="Times New Roman"/>
                  <w:bCs/>
                  <w:iCs/>
                  <w:sz w:val="24"/>
                  <w:szCs w:val="24"/>
                </w:rPr>
                <w:t>Recommendation ITU-T G.975.1 “</w:t>
              </w:r>
              <w:r w:rsidR="00A11163" w:rsidRPr="004567E2">
                <w:rPr>
                  <w:rStyle w:val="Hyperlink"/>
                  <w:rFonts w:ascii="Times New Roman" w:hAnsi="Times New Roman" w:cs="Times New Roman"/>
                  <w:sz w:val="24"/>
                  <w:szCs w:val="24"/>
                </w:rPr>
                <w:t>Forward error correction for high bit-rate DWDM submarine systems</w:t>
              </w:r>
              <w:r w:rsidR="00A11163" w:rsidRPr="004567E2">
                <w:rPr>
                  <w:rStyle w:val="Hyperlink"/>
                  <w:rFonts w:ascii="Times New Roman" w:hAnsi="Times New Roman" w:cs="Times New Roman"/>
                  <w:bCs/>
                  <w:iCs/>
                  <w:sz w:val="24"/>
                  <w:szCs w:val="24"/>
                </w:rPr>
                <w:t>”</w:t>
              </w:r>
            </w:hyperlink>
            <w:r w:rsidR="00A11163" w:rsidRPr="004567E2">
              <w:rPr>
                <w:rFonts w:ascii="Times New Roman" w:hAnsi="Times New Roman" w:cs="Times New Roman"/>
                <w:bCs/>
                <w:iCs/>
                <w:sz w:val="24"/>
                <w:szCs w:val="24"/>
              </w:rPr>
              <w:t xml:space="preserve"> </w:t>
            </w:r>
            <w:r w:rsidR="00A11163" w:rsidRPr="004567E2">
              <w:rPr>
                <w:rFonts w:ascii="Times New Roman" w:hAnsi="Times New Roman" w:cs="Times New Roman"/>
                <w:sz w:val="24"/>
                <w:szCs w:val="24"/>
              </w:rPr>
              <w:t>describes the Forward Error Correction (FEC) functions that have higher-correction ability than RS(255,239) code defined in ITU-T Rec. G.975 for the high bit-rate DWDM submarine cable systems. In Appendix I, super FEC schemes, which have higher-correction ability than RS(255,239) code, are also described. The use of this super FEC function in submarine terminal transmission equipment (TTEs) should not be considered as mandatory.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92" w:history="1">
              <w:r w:rsidR="00A11163" w:rsidRPr="004567E2">
                <w:rPr>
                  <w:rStyle w:val="Hyperlink"/>
                  <w:rFonts w:ascii="Times New Roman" w:hAnsi="Times New Roman" w:cs="Times New Roman"/>
                  <w:bCs/>
                  <w:iCs/>
                  <w:sz w:val="24"/>
                  <w:szCs w:val="24"/>
                </w:rPr>
                <w:t>Recommendation ITU-T G.976 “</w:t>
              </w:r>
              <w:r w:rsidR="00A11163" w:rsidRPr="004567E2">
                <w:rPr>
                  <w:rStyle w:val="Hyperlink"/>
                  <w:rFonts w:ascii="Times New Roman" w:hAnsi="Times New Roman" w:cs="Times New Roman"/>
                  <w:sz w:val="24"/>
                  <w:szCs w:val="24"/>
                </w:rPr>
                <w:t>Test methods applicable to optical fibre submarine cable systems</w:t>
              </w:r>
              <w:r w:rsidR="00A11163" w:rsidRPr="004567E2">
                <w:rPr>
                  <w:rStyle w:val="Hyperlink"/>
                  <w:rFonts w:ascii="Times New Roman" w:hAnsi="Times New Roman" w:cs="Times New Roman"/>
                  <w:bCs/>
                  <w:iCs/>
                  <w:sz w:val="24"/>
                  <w:szCs w:val="24"/>
                </w:rPr>
                <w:t>”</w:t>
              </w:r>
            </w:hyperlink>
            <w:r w:rsidR="00A11163" w:rsidRPr="004567E2">
              <w:rPr>
                <w:rFonts w:ascii="Times New Roman" w:hAnsi="Times New Roman" w:cs="Times New Roman"/>
                <w:bCs/>
                <w:iCs/>
                <w:sz w:val="24"/>
                <w:szCs w:val="24"/>
              </w:rPr>
              <w:t xml:space="preserve"> </w:t>
            </w:r>
            <w:r w:rsidR="00A11163" w:rsidRPr="004567E2">
              <w:rPr>
                <w:rFonts w:ascii="Times New Roman" w:hAnsi="Times New Roman" w:cs="Times New Roman"/>
                <w:sz w:val="24"/>
                <w:szCs w:val="24"/>
              </w:rPr>
              <w:t>highlights the purpose of testing in optical fibre submarine cable systems and lists the main test methods applicable to these systems. Specific test methods are described.</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93" w:history="1">
              <w:r w:rsidR="00A11163" w:rsidRPr="004567E2">
                <w:rPr>
                  <w:rStyle w:val="Hyperlink"/>
                  <w:rFonts w:ascii="Times New Roman" w:hAnsi="Times New Roman" w:cs="Times New Roman"/>
                  <w:bCs/>
                  <w:iCs/>
                  <w:sz w:val="24"/>
                  <w:szCs w:val="24"/>
                </w:rPr>
                <w:t>Recommendation ITU-T G.977 “</w:t>
              </w:r>
              <w:r w:rsidR="00A11163" w:rsidRPr="004567E2">
                <w:rPr>
                  <w:rStyle w:val="Hyperlink"/>
                  <w:rFonts w:ascii="Times New Roman" w:hAnsi="Times New Roman" w:cs="Times New Roman"/>
                  <w:sz w:val="24"/>
                  <w:szCs w:val="24"/>
                </w:rPr>
                <w:t>Characteristics of optically amplified optical fibre submarine cable systems</w:t>
              </w:r>
              <w:r w:rsidR="00A11163" w:rsidRPr="004567E2">
                <w:rPr>
                  <w:rStyle w:val="Hyperlink"/>
                  <w:rFonts w:ascii="Times New Roman" w:hAnsi="Times New Roman" w:cs="Times New Roman"/>
                  <w:bCs/>
                  <w:iCs/>
                  <w:sz w:val="24"/>
                  <w:szCs w:val="24"/>
                </w:rPr>
                <w:t>”</w:t>
              </w:r>
            </w:hyperlink>
            <w:r w:rsidR="00A11163" w:rsidRPr="004567E2">
              <w:rPr>
                <w:rFonts w:ascii="Times New Roman" w:hAnsi="Times New Roman" w:cs="Times New Roman"/>
                <w:bCs/>
                <w:iCs/>
                <w:sz w:val="24"/>
                <w:szCs w:val="24"/>
              </w:rPr>
              <w:t xml:space="preserve"> </w:t>
            </w:r>
            <w:r w:rsidR="00A11163" w:rsidRPr="004567E2">
              <w:rPr>
                <w:rFonts w:ascii="Times New Roman" w:hAnsi="Times New Roman" w:cs="Times New Roman"/>
                <w:sz w:val="24"/>
                <w:szCs w:val="24"/>
              </w:rPr>
              <w:t>is concerned with the system performance and interface requirements of repeatered optical submarine systems using optical fibre amplifiers (OFAs) as line repeaters. It covers the aspects related to single wavelength systems (SWS), wavelength division multiplexing systems (WDMS) and dense wavelength division multiplexing systems (DWDMS). The physical implementation of optically amplified fibre submarine systems is considered in Annex A.</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94" w:history="1">
              <w:r w:rsidR="00A11163" w:rsidRPr="004567E2">
                <w:rPr>
                  <w:rStyle w:val="Hyperlink"/>
                  <w:rFonts w:ascii="Times New Roman" w:hAnsi="Times New Roman" w:cs="Times New Roman"/>
                  <w:bCs/>
                  <w:iCs/>
                  <w:sz w:val="24"/>
                  <w:szCs w:val="24"/>
                </w:rPr>
                <w:t>Recommendation ITU-T G.978 “</w:t>
              </w:r>
              <w:r w:rsidR="00A11163" w:rsidRPr="004567E2">
                <w:rPr>
                  <w:rStyle w:val="Hyperlink"/>
                  <w:rFonts w:ascii="Times New Roman" w:hAnsi="Times New Roman" w:cs="Times New Roman"/>
                  <w:sz w:val="24"/>
                  <w:szCs w:val="24"/>
                </w:rPr>
                <w:t>Characteristics of optical fibre submarine cables</w:t>
              </w:r>
              <w:r w:rsidR="00A11163" w:rsidRPr="004567E2">
                <w:rPr>
                  <w:rStyle w:val="Hyperlink"/>
                  <w:rFonts w:ascii="Times New Roman" w:hAnsi="Times New Roman" w:cs="Times New Roman"/>
                  <w:bCs/>
                  <w:iCs/>
                  <w:sz w:val="24"/>
                  <w:szCs w:val="24"/>
                </w:rPr>
                <w:t>”</w:t>
              </w:r>
            </w:hyperlink>
            <w:r w:rsidR="00A11163" w:rsidRPr="004567E2">
              <w:rPr>
                <w:rFonts w:ascii="Times New Roman" w:hAnsi="Times New Roman" w:cs="Times New Roman"/>
                <w:bCs/>
                <w:iCs/>
                <w:sz w:val="24"/>
                <w:szCs w:val="24"/>
              </w:rPr>
              <w:t xml:space="preserve"> d</w:t>
            </w:r>
            <w:r w:rsidR="00A11163" w:rsidRPr="004567E2">
              <w:rPr>
                <w:rFonts w:ascii="Times New Roman" w:hAnsi="Times New Roman" w:cs="Times New Roman"/>
                <w:sz w:val="24"/>
                <w:szCs w:val="24"/>
              </w:rPr>
              <w:t>eals with the characteristics of the optical fibre submarine cables used in Recommendations ITU-T G.973, ITU-T G.973.1, ITU-T G.974 and ITU-T G.977. It covers transmission characteristics of optical fibre submarine cables, optical fibres used in submarine cables, including mechanical characteristics and resistance to the environment and other electrical characteristics. It also covers the transmission characteristics of the single- and hybrid-fibre type elementary cable sections. Any specific information regarding the characteristics of optical fibre submarine cables are included in the relevant optical submarine system's Recommendations.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95" w:history="1">
              <w:r w:rsidR="00A11163" w:rsidRPr="004567E2">
                <w:rPr>
                  <w:rStyle w:val="Hyperlink"/>
                  <w:rFonts w:ascii="Times New Roman" w:hAnsi="Times New Roman" w:cs="Times New Roman"/>
                  <w:bCs/>
                  <w:iCs/>
                  <w:sz w:val="24"/>
                  <w:szCs w:val="24"/>
                </w:rPr>
                <w:t>Recommendation ITU-T G.979 “</w:t>
              </w:r>
              <w:r w:rsidR="00A11163" w:rsidRPr="004567E2">
                <w:rPr>
                  <w:rStyle w:val="Hyperlink"/>
                  <w:rFonts w:ascii="Times New Roman" w:hAnsi="Times New Roman" w:cs="Times New Roman"/>
                  <w:sz w:val="24"/>
                  <w:szCs w:val="24"/>
                </w:rPr>
                <w:t>Characteristics of monitoring systems for optical submarine cable systems</w:t>
              </w:r>
              <w:r w:rsidR="00A11163" w:rsidRPr="004567E2">
                <w:rPr>
                  <w:rStyle w:val="Hyperlink"/>
                  <w:rFonts w:ascii="Times New Roman" w:hAnsi="Times New Roman" w:cs="Times New Roman"/>
                  <w:bCs/>
                  <w:iCs/>
                  <w:sz w:val="24"/>
                  <w:szCs w:val="24"/>
                </w:rPr>
                <w:t>”</w:t>
              </w:r>
            </w:hyperlink>
            <w:r w:rsidR="00A11163" w:rsidRPr="004567E2">
              <w:rPr>
                <w:rFonts w:ascii="Times New Roman" w:hAnsi="Times New Roman" w:cs="Times New Roman"/>
                <w:bCs/>
                <w:iCs/>
                <w:sz w:val="24"/>
                <w:szCs w:val="24"/>
              </w:rPr>
              <w:t xml:space="preserve"> </w:t>
            </w:r>
            <w:r w:rsidR="00A11163" w:rsidRPr="004567E2">
              <w:rPr>
                <w:rFonts w:ascii="Times New Roman" w:hAnsi="Times New Roman" w:cs="Times New Roman"/>
                <w:sz w:val="24"/>
                <w:szCs w:val="24"/>
              </w:rPr>
              <w:t>is concerned with the characteristics of monitoring systems for optical fibre submarine cable systems. It covers the aspects relating to functional architecture, the characteristics of monitoring equipment and the parameters for monitoring.</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Style w:val="Hyperlink"/>
                <w:rFonts w:ascii="Times New Roman" w:hAnsi="Times New Roman" w:cs="Times New Roman"/>
                <w:sz w:val="24"/>
                <w:szCs w:val="24"/>
              </w:rPr>
            </w:pPr>
            <w:hyperlink r:id="rId396" w:tooltip="PDH optical line systems for the local network" w:history="1">
              <w:r w:rsidR="00A11163" w:rsidRPr="004567E2">
                <w:rPr>
                  <w:rStyle w:val="Hyperlink"/>
                  <w:rFonts w:ascii="Times New Roman" w:hAnsi="Times New Roman" w:cs="Times New Roman"/>
                  <w:sz w:val="24"/>
                  <w:szCs w:val="24"/>
                </w:rPr>
                <w:t>Recommendation ITU-T G.981 “PDH optical line systems for the local network”</w:t>
              </w:r>
            </w:hyperlink>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97" w:tooltip="Optical access networks to support services up to the ISDN primary rate or equivalent bit rates" w:history="1">
              <w:r w:rsidR="00A11163" w:rsidRPr="004567E2">
                <w:rPr>
                  <w:rStyle w:val="Hyperlink"/>
                  <w:rFonts w:ascii="Times New Roman" w:hAnsi="Times New Roman" w:cs="Times New Roman"/>
                  <w:sz w:val="24"/>
                  <w:szCs w:val="24"/>
                </w:rPr>
                <w:t>Recommendation ITU-T G.982 “Optical access networks to support services up to the ISDN primary rate or equivalent bit rates”</w:t>
              </w:r>
            </w:hyperlink>
            <w:r w:rsidR="00A11163" w:rsidRPr="004567E2">
              <w:rPr>
                <w:rFonts w:ascii="Times New Roman" w:hAnsi="Times New Roman" w:cs="Times New Roman"/>
                <w:sz w:val="24"/>
                <w:szCs w:val="24"/>
              </w:rPr>
              <w:t xml:space="preserve"> deals with the characteristics of an Optical Access Network (OAN) with the capability of transporting interactive services over the Optical Distribution Network (ODN) based on point-to-multipoint configuration using passive optical branching components. The Recommendation considers an OAN for both business and residential customer service requirements based on 64 kbit/s bearer capabilities up to and including ISDN primary rate services.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98" w:tooltip="Broadband optical access systems based on Passive Optical Networks (PON)" w:history="1">
              <w:r w:rsidR="00A11163" w:rsidRPr="004567E2">
                <w:rPr>
                  <w:rStyle w:val="Hyperlink"/>
                  <w:rFonts w:ascii="Times New Roman" w:hAnsi="Times New Roman" w:cs="Times New Roman"/>
                  <w:sz w:val="24"/>
                  <w:szCs w:val="24"/>
                </w:rPr>
                <w:t>Recommendation ITU-T G.983.1 “Broadband optical access systems based on Passive Optical Networks (PON)”</w:t>
              </w:r>
            </w:hyperlink>
            <w:r w:rsidR="00A11163" w:rsidRPr="004567E2">
              <w:rPr>
                <w:rFonts w:ascii="Times New Roman" w:hAnsi="Times New Roman" w:cs="Times New Roman"/>
                <w:sz w:val="24"/>
                <w:szCs w:val="24"/>
              </w:rPr>
              <w:t xml:space="preserve"> describes a flexible optical fibre access network capable of supporting the bandwidth requirements of narrow-band and broadband services. This Recommendation describes systems with nominal downstream line rates of 155.52, 622.08 and 1244.16 Mbit/s, and nominal upstream line rates of 155.52 and 622.08 Mbit/s. Both symmetrical and asymmetrical systems are described. This Recommendation proposes the physical layer requirements and specifications for the physical media dependent layer, the TC layer and the ranging protocol of an ATM-based Broadband Passive Optical Network (B-PON).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399" w:tooltip="ONT management and control interface specification for B-PON" w:history="1">
              <w:r w:rsidR="00A11163" w:rsidRPr="004567E2">
                <w:rPr>
                  <w:rStyle w:val="Hyperlink"/>
                  <w:rFonts w:ascii="Times New Roman" w:hAnsi="Times New Roman" w:cs="Times New Roman"/>
                  <w:sz w:val="24"/>
                  <w:szCs w:val="24"/>
                </w:rPr>
                <w:t>Recommendation ITU-T G.983.2 “ONT management and control interface specification for B-PON”</w:t>
              </w:r>
            </w:hyperlink>
            <w:r w:rsidR="00A11163" w:rsidRPr="004567E2">
              <w:rPr>
                <w:rFonts w:ascii="Times New Roman" w:hAnsi="Times New Roman" w:cs="Times New Roman"/>
                <w:sz w:val="24"/>
                <w:szCs w:val="24"/>
              </w:rPr>
              <w:t xml:space="preserve"> describes the ONTs that are located at the customer site. The B-PON element management system will only manage ONTs as part of the B-PON system through the OLT using the ONT management and control interface (OMCI).This Recommendation presents requirements for the OMCI. Firstly, it specifies managed entities of a protocol-independent Management Information </w:t>
            </w:r>
            <w:r w:rsidR="00A11163" w:rsidRPr="004567E2">
              <w:rPr>
                <w:rFonts w:ascii="Times New Roman" w:hAnsi="Times New Roman" w:cs="Times New Roman"/>
                <w:sz w:val="24"/>
                <w:szCs w:val="24"/>
              </w:rPr>
              <w:lastRenderedPageBreak/>
              <w:t>Base (MIB) that models the exchange of information between the OLT and ONT, then it covers the ONT management and control channel, protocol and detailed messages.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00" w:tooltip="A broadband optical access system with increased service capability by wavelength allocation" w:history="1">
              <w:r w:rsidR="00A11163" w:rsidRPr="004567E2">
                <w:rPr>
                  <w:rStyle w:val="Hyperlink"/>
                  <w:rFonts w:ascii="Times New Roman" w:hAnsi="Times New Roman" w:cs="Times New Roman"/>
                  <w:sz w:val="24"/>
                  <w:szCs w:val="24"/>
                </w:rPr>
                <w:t>Recommendation ITU-T G.983.3 “A broadband optical access system with increased service capability by wavelength allocation”</w:t>
              </w:r>
            </w:hyperlink>
            <w:r w:rsidR="00A11163" w:rsidRPr="004567E2">
              <w:rPr>
                <w:rFonts w:ascii="Times New Roman" w:hAnsi="Times New Roman" w:cs="Times New Roman"/>
                <w:sz w:val="24"/>
                <w:szCs w:val="24"/>
              </w:rPr>
              <w:t xml:space="preserve"> defines new wavelength allocations to distribute ATM-PON signals and additional service signals simultaneously. New wavelength bands for additional services are made available by constraining the current ATM-PON downstream wavelength to a portion of downstream optical spectrum originally specified in ITU-T G.983.1. The new bands have potential to provide unidirectional and bidirectional services. The wavelength allocation defined in this Recommendation enables the distribution of video broadcast services or data services. The general optical characteristics of these services are taken into account. However, the detailed specifications of these services, such as modulation scheme, signal format, and so on are beyond the scope of this Recommendation.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01" w:history="1">
              <w:r w:rsidR="00A11163" w:rsidRPr="004567E2">
                <w:rPr>
                  <w:rStyle w:val="Hyperlink"/>
                  <w:rFonts w:ascii="Times New Roman" w:hAnsi="Times New Roman" w:cs="Times New Roman"/>
                  <w:sz w:val="24"/>
                  <w:szCs w:val="24"/>
                </w:rPr>
                <w:t>Recommendation ITU-T G.983.4 “A broadband optical access system with increased service capability using dynamic bandwidth assignment”</w:t>
              </w:r>
            </w:hyperlink>
            <w:r w:rsidR="00A11163" w:rsidRPr="004567E2">
              <w:rPr>
                <w:rFonts w:ascii="Times New Roman" w:hAnsi="Times New Roman" w:cs="Times New Roman"/>
                <w:sz w:val="24"/>
                <w:szCs w:val="24"/>
              </w:rPr>
              <w:t xml:space="preserve"> specifies requirements for adding Dynamic Bandwidth Assignment (DBA) functionality to the Broadband Optical Access Systems defined in ITU-T Rec. G.983.1. The use of DBA functionality enables dynamic sharing of upstream bandwidth. This dynamic sharing uses upstream bandwidth more efficiently and enables additional services flexibility. This Recommendation captures specifications for DBA operation and for DBA-related communication between the OLT and the ONUs/ONTs.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02" w:tooltip="A broadband optical access system with enhanced survivability" w:history="1">
              <w:r w:rsidR="00A11163" w:rsidRPr="004567E2">
                <w:rPr>
                  <w:rStyle w:val="Hyperlink"/>
                  <w:rFonts w:ascii="Times New Roman" w:hAnsi="Times New Roman" w:cs="Times New Roman"/>
                  <w:sz w:val="24"/>
                  <w:szCs w:val="24"/>
                </w:rPr>
                <w:t>Recommendation ITU-T G.983.5 “A broadband optical access system with enhanced survivability”</w:t>
              </w:r>
            </w:hyperlink>
            <w:r w:rsidR="00A11163" w:rsidRPr="004567E2">
              <w:rPr>
                <w:rFonts w:ascii="Times New Roman" w:hAnsi="Times New Roman" w:cs="Times New Roman"/>
                <w:sz w:val="24"/>
                <w:szCs w:val="24"/>
              </w:rPr>
              <w:t xml:space="preserve"> describes flexible access networks using optical fibre technology based on ITU-T Rec. G.983.1. Specifically, it describes the functions that extend ITU-T Rec. G.983.1 to enable survivability-protection enhancements for the delivery of highly reliable services. It describes B-PON survivability architectures, protection performance criteria, and protection-switching criteria and </w:t>
            </w:r>
            <w:r w:rsidR="00A11163" w:rsidRPr="004567E2">
              <w:rPr>
                <w:rFonts w:ascii="Times New Roman" w:hAnsi="Times New Roman" w:cs="Times New Roman"/>
                <w:sz w:val="24"/>
                <w:szCs w:val="24"/>
              </w:rPr>
              <w:lastRenderedPageBreak/>
              <w:t>protocols.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03" w:tooltip="Gigabit-capable passive optical networks (GPON): General characteristics" w:history="1">
              <w:r w:rsidR="00A11163" w:rsidRPr="004567E2">
                <w:rPr>
                  <w:rStyle w:val="Hyperlink"/>
                  <w:rFonts w:ascii="Times New Roman" w:hAnsi="Times New Roman" w:cs="Times New Roman"/>
                  <w:sz w:val="24"/>
                  <w:szCs w:val="24"/>
                </w:rPr>
                <w:t>Recommendation ITU-T G.984.1 “Gigabit-capable passive optical networks (GPON): General characteristics”</w:t>
              </w:r>
            </w:hyperlink>
            <w:r w:rsidR="00A11163" w:rsidRPr="004567E2">
              <w:rPr>
                <w:rFonts w:ascii="Times New Roman" w:hAnsi="Times New Roman" w:cs="Times New Roman"/>
                <w:sz w:val="24"/>
                <w:szCs w:val="24"/>
              </w:rPr>
              <w:t xml:space="preserve"> describes a flexible optical fibre access network capable of supporting the bandwidth requirements of business and residential services and covers systems with nominal line rates of 2.4 Gbit/s in the downstream direction and 1.2 Gbit/s and 2.4 Gbit/s in the upstream direction. Both symmetrical and asymmetrical (upstream/downstream) gigabit-capable passive optical network (GPON) systems are described. This Recommendation proposes the general characteristics for GPON based on operators' service requirements.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04" w:history="1">
              <w:r w:rsidR="00A11163" w:rsidRPr="004567E2">
                <w:rPr>
                  <w:rStyle w:val="Hyperlink"/>
                  <w:rFonts w:ascii="Times New Roman" w:hAnsi="Times New Roman" w:cs="Times New Roman"/>
                  <w:sz w:val="24"/>
                  <w:szCs w:val="24"/>
                </w:rPr>
                <w:t>Recommendation ITU-T G.984.2 “Gigabit-capable Passive Optical Networks (G-PON): Physical Media Dependent (PMD) layer specification”</w:t>
              </w:r>
            </w:hyperlink>
            <w:r w:rsidR="00A11163" w:rsidRPr="004567E2">
              <w:rPr>
                <w:rFonts w:ascii="Times New Roman" w:hAnsi="Times New Roman" w:cs="Times New Roman"/>
                <w:sz w:val="24"/>
                <w:szCs w:val="24"/>
              </w:rPr>
              <w:t xml:space="preserve"> describes a flexible optical fibre access network capable of supporting the bandwidth requirements of business and residential services, and covers systems with nominal line rates of 1244.160 Mbit/s and 2488.320 Mbit/s in the downstream direction and 155.520 Mbit/s, 622.080 Mbit/s, 1244.160 Mbit/s and 2488.320 Mbit/s in the upstream direction. Both symmetrical and asymmetrical (upstream/downstream) Gigabit-capable Passive Optical Network (GPON) systems are described. This Recommendation proposes the physical layer requirements and specifications for the Physical Media Dependent (PMD) layer. The Transmission Convergence (TC) layer and ranging protocol for GPON systems are described in a different ITU-T Recommendation. This Recommendation describes a system that represents an evolutionary development from the system described in ITU-T Rec. G.983.1. To the greatest extent possible, this Recommendation maintains the requirements of ITU-T Rec. G.983.1 to insure maximal continuity with existing systems and optical fibre infrastructure.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05" w:tooltip="Gigabit-capable passive optical networks (G-PON): Transmission convergence layer specification" w:history="1">
              <w:r w:rsidR="00A11163" w:rsidRPr="004567E2">
                <w:rPr>
                  <w:rStyle w:val="Hyperlink"/>
                  <w:rFonts w:ascii="Times New Roman" w:hAnsi="Times New Roman" w:cs="Times New Roman"/>
                  <w:sz w:val="24"/>
                  <w:szCs w:val="24"/>
                </w:rPr>
                <w:t>Recommendation ITU-T G.984.3 “Gigabit-capable passive optical networks (G-PON): Transmission convergence layer specification”</w:t>
              </w:r>
            </w:hyperlink>
            <w:r w:rsidR="00A11163" w:rsidRPr="004567E2">
              <w:rPr>
                <w:rFonts w:ascii="Times New Roman" w:hAnsi="Times New Roman" w:cs="Times New Roman"/>
                <w:sz w:val="24"/>
                <w:szCs w:val="24"/>
              </w:rPr>
              <w:t xml:space="preserve"> describes the transmission convergence layer for gigabit-capable passive optical networks – a family of flexible access networks capable of providing a range of broadband and narrow-</w:t>
            </w:r>
            <w:r w:rsidR="00A11163" w:rsidRPr="004567E2">
              <w:rPr>
                <w:rFonts w:ascii="Times New Roman" w:hAnsi="Times New Roman" w:cs="Times New Roman"/>
                <w:sz w:val="24"/>
                <w:szCs w:val="24"/>
              </w:rPr>
              <w:lastRenderedPageBreak/>
              <w:t>band services, operating at the rates of 2.48832 Gbit/s downstream and 1.24416 or 2.48832 Gbit/s upstream. This Recommendation includes the specifications of the following:</w:t>
            </w:r>
            <w:r w:rsidR="00A11163" w:rsidRPr="004567E2">
              <w:rPr>
                <w:rFonts w:ascii="Times New Roman" w:hAnsi="Times New Roman" w:cs="Times New Roman"/>
                <w:sz w:val="24"/>
                <w:szCs w:val="24"/>
              </w:rPr>
              <w:br/>
              <w:t>• gigabit PON transmission convergence (GTC) layer framing;</w:t>
            </w:r>
            <w:r w:rsidR="00A11163" w:rsidRPr="004567E2">
              <w:rPr>
                <w:rFonts w:ascii="Times New Roman" w:hAnsi="Times New Roman" w:cs="Times New Roman"/>
                <w:sz w:val="24"/>
                <w:szCs w:val="24"/>
              </w:rPr>
              <w:br/>
              <w:t xml:space="preserve">• upstream time division multiple access mechanism; </w:t>
            </w:r>
            <w:r w:rsidR="00A11163" w:rsidRPr="004567E2">
              <w:rPr>
                <w:rFonts w:ascii="Times New Roman" w:hAnsi="Times New Roman" w:cs="Times New Roman"/>
                <w:sz w:val="24"/>
                <w:szCs w:val="24"/>
              </w:rPr>
              <w:br/>
              <w:t xml:space="preserve">• physical layer operation, administration and maintenance (OAM) messaging channel; </w:t>
            </w:r>
            <w:r w:rsidR="00A11163" w:rsidRPr="004567E2">
              <w:rPr>
                <w:rFonts w:ascii="Times New Roman" w:hAnsi="Times New Roman" w:cs="Times New Roman"/>
                <w:sz w:val="24"/>
                <w:szCs w:val="24"/>
              </w:rPr>
              <w:br/>
              <w:t xml:space="preserve">• principles and signalling mechanism of the upstream dynamic bandwidth assignment; </w:t>
            </w:r>
            <w:r w:rsidR="00A11163" w:rsidRPr="004567E2">
              <w:rPr>
                <w:rFonts w:ascii="Times New Roman" w:hAnsi="Times New Roman" w:cs="Times New Roman"/>
                <w:sz w:val="24"/>
                <w:szCs w:val="24"/>
              </w:rPr>
              <w:br/>
              <w:t xml:space="preserve">• optical network unit (ONU) activation method; </w:t>
            </w:r>
            <w:r w:rsidR="00A11163" w:rsidRPr="004567E2">
              <w:rPr>
                <w:rFonts w:ascii="Times New Roman" w:hAnsi="Times New Roman" w:cs="Times New Roman"/>
                <w:sz w:val="24"/>
                <w:szCs w:val="24"/>
              </w:rPr>
              <w:br/>
              <w:t xml:space="preserve">• forward error correction; </w:t>
            </w:r>
            <w:r w:rsidR="00A11163" w:rsidRPr="004567E2">
              <w:rPr>
                <w:rFonts w:ascii="Times New Roman" w:hAnsi="Times New Roman" w:cs="Times New Roman"/>
                <w:sz w:val="24"/>
                <w:szCs w:val="24"/>
              </w:rPr>
              <w:br/>
              <w:t>• security.</w:t>
            </w:r>
            <w:r w:rsidR="00A11163" w:rsidRPr="004567E2">
              <w:rPr>
                <w:rFonts w:ascii="Times New Roman" w:hAnsi="Times New Roman" w:cs="Times New Roman"/>
                <w:sz w:val="24"/>
                <w:szCs w:val="24"/>
              </w:rPr>
              <w:br/>
              <w:t>This Recommendation forms an integral part of the G.984-series of ITU-T Recommendations that, together, specify a single coherent set of access transmission systems.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06" w:tooltip="Gigabit-capable passive optical networks (G-PON): ONT management and control interface specification" w:history="1">
              <w:r w:rsidR="00A11163" w:rsidRPr="004567E2">
                <w:rPr>
                  <w:rStyle w:val="Hyperlink"/>
                  <w:rFonts w:ascii="Times New Roman" w:hAnsi="Times New Roman" w:cs="Times New Roman"/>
                  <w:sz w:val="24"/>
                  <w:szCs w:val="24"/>
                </w:rPr>
                <w:t>Recommendation ITU-T G.984.4 “Gigabit-capable passive optical networks (G-PON): ONT management and control interface specification”</w:t>
              </w:r>
            </w:hyperlink>
            <w:r w:rsidR="00A11163" w:rsidRPr="004567E2">
              <w:rPr>
                <w:rFonts w:ascii="Times New Roman" w:hAnsi="Times New Roman" w:cs="Times New Roman"/>
                <w:sz w:val="24"/>
                <w:szCs w:val="24"/>
              </w:rPr>
              <w:t xml:space="preserve"> provides the optical network termination (ONT) management and control interface (OMCI) specification for gigabit-capable passive optical network (G-PON) systems as defined in Recommendations ITU-T G.984.2 and G.984.3.Firstly, it specifies the managed entities of a protocol-independent management information base (MIB) that models the exchange of information between the optical line termination (OLT) and the optical network termination (ONT). In addition, it covers the ONT management and control channel, protocol and detailed messages. This revised version incorporates the material from Amendment 1 (2005), Amendment 2 (2006), and Amendment 3 (2006). In addition to the purely editorial collection work, this revision endeavours to remove all references to the optional ATM transport capabilities of G-PON, since all modern systems do not support it.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07" w:tooltip="Gigabit-capable passive optical networks (G-PON): Enhancement band" w:history="1">
              <w:r w:rsidR="00A11163" w:rsidRPr="004567E2">
                <w:rPr>
                  <w:rStyle w:val="Hyperlink"/>
                  <w:rFonts w:ascii="Times New Roman" w:hAnsi="Times New Roman" w:cs="Times New Roman"/>
                  <w:sz w:val="24"/>
                  <w:szCs w:val="24"/>
                </w:rPr>
                <w:t>Recommendation ITU-T G.984.5 “Gigabit-capable passive optical networks (G-</w:t>
              </w:r>
              <w:r w:rsidR="00A11163" w:rsidRPr="004567E2">
                <w:rPr>
                  <w:rStyle w:val="Hyperlink"/>
                  <w:rFonts w:ascii="Times New Roman" w:hAnsi="Times New Roman" w:cs="Times New Roman"/>
                  <w:sz w:val="24"/>
                  <w:szCs w:val="24"/>
                </w:rPr>
                <w:lastRenderedPageBreak/>
                <w:t>PON): Enhancement band”</w:t>
              </w:r>
            </w:hyperlink>
            <w:r w:rsidR="00A11163" w:rsidRPr="004567E2">
              <w:rPr>
                <w:rFonts w:ascii="Times New Roman" w:hAnsi="Times New Roman" w:cs="Times New Roman"/>
                <w:sz w:val="24"/>
                <w:szCs w:val="24"/>
              </w:rPr>
              <w:t xml:space="preserve"> defines wavelength ranges reserved for additional service signals to be overlaid via wavelength division multiplexing (WDM) in future passive optical networks (PON) for maximizing the value of optical distribution networks (ODNs).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08" w:history="1">
              <w:r w:rsidR="00A11163" w:rsidRPr="004567E2">
                <w:rPr>
                  <w:rStyle w:val="Hyperlink"/>
                  <w:rFonts w:ascii="Times New Roman" w:hAnsi="Times New Roman" w:cs="Times New Roman"/>
                  <w:sz w:val="24"/>
                  <w:szCs w:val="24"/>
                </w:rPr>
                <w:t>ITU-T G.984.5 (2014) Amd.1 “Gigabit-capable passive optical networks (G-PON): Enhancement band - Amendment 1”</w:t>
              </w:r>
            </w:hyperlink>
            <w:r w:rsidR="00A11163" w:rsidRPr="004567E2">
              <w:rPr>
                <w:rFonts w:ascii="Times New Roman" w:hAnsi="Times New Roman" w:cs="Times New Roman"/>
                <w:sz w:val="24"/>
                <w:szCs w:val="24"/>
              </w:rPr>
              <w:t xml:space="preserve"> includes:</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1) New Appendix IV describing the examples for a Multi-PON Module</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2) Method for CEx isolation and directivity calculations in multi-interferer scenarios in Appendix III and application case in Appendix I</w:t>
            </w:r>
          </w:p>
          <w:p w:rsidR="00A11163" w:rsidRPr="004567E2" w:rsidRDefault="00A11163" w:rsidP="00A11163">
            <w:pPr>
              <w:pStyle w:val="ListParagraph"/>
              <w:ind w:left="0"/>
              <w:contextualSpacing w:val="0"/>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3) New Appendix V providing analysis on coexistence method using a 2:N splitter.</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09" w:tooltip="Gigabit-capable passive optical networks (GPON): Reach extension" w:history="1">
              <w:r w:rsidR="00A11163" w:rsidRPr="004567E2">
                <w:rPr>
                  <w:rStyle w:val="Hyperlink"/>
                  <w:rFonts w:ascii="Times New Roman" w:hAnsi="Times New Roman" w:cs="Times New Roman"/>
                  <w:sz w:val="24"/>
                  <w:szCs w:val="24"/>
                </w:rPr>
                <w:t>Recommendation ITU-T G.984.6 “Gigabit-capable passive optical networks (GPON): Reach extension”</w:t>
              </w:r>
            </w:hyperlink>
            <w:r w:rsidR="00A11163" w:rsidRPr="004567E2">
              <w:rPr>
                <w:rFonts w:ascii="Times New Roman" w:hAnsi="Times New Roman" w:cs="Times New Roman"/>
                <w:sz w:val="24"/>
                <w:szCs w:val="24"/>
              </w:rPr>
              <w:t xml:space="preserve"> outlines the architecture and interface parameters for GPON systems with extended reach using a physical layer reach extension device such as a regenerator or optical amplifier in the fibre link between the optical line termination (OLT) and optical network termination (ONT). The maximum reach is up to 60 km with loss budgets of in excess of 27.5 dB being achievable in both spans.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10" w:tooltip="Gigabit-capable passive optical networks (GPON): Long reach" w:history="1">
              <w:r w:rsidR="00A11163" w:rsidRPr="004567E2">
                <w:rPr>
                  <w:rStyle w:val="Hyperlink"/>
                  <w:rFonts w:ascii="Times New Roman" w:hAnsi="Times New Roman" w:cs="Times New Roman"/>
                  <w:sz w:val="24"/>
                  <w:szCs w:val="24"/>
                </w:rPr>
                <w:t>Recommendation ITU-T G.984.7 “Gigabit-capable passive optical networks (GPON): Long reach”</w:t>
              </w:r>
            </w:hyperlink>
            <w:r w:rsidR="00A11163" w:rsidRPr="004567E2">
              <w:rPr>
                <w:rFonts w:ascii="Times New Roman" w:hAnsi="Times New Roman" w:cs="Times New Roman"/>
                <w:sz w:val="24"/>
                <w:szCs w:val="24"/>
              </w:rPr>
              <w:t xml:space="preserve"> defines the maximum differential distance between any two ONUs on the passive optical network (PON) as 20 km and the GPON logical reach has been defined as 60 km. However, based on practical deployment experience, it has been found that a differential distance of 40 km, ranging from 0 to 40 km, 20 to 60 km or distances in between allows significant flexibility in PON deployment and offers many benefits including the ability to serve sparsely populated areas in an efficient manner. The present Recommendation describes the necessary requirements for GPON to support the differential distance of 40 km.</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11" w:tooltip="100 Mbit/s point-to-point Ethernet based optical access system" w:history="1">
              <w:r w:rsidR="00A11163" w:rsidRPr="004567E2">
                <w:rPr>
                  <w:rStyle w:val="Hyperlink"/>
                  <w:rFonts w:ascii="Times New Roman" w:hAnsi="Times New Roman" w:cs="Times New Roman"/>
                  <w:sz w:val="24"/>
                  <w:szCs w:val="24"/>
                </w:rPr>
                <w:t>Recommendation ITU-T G.985 “100 Mbit/s point-to-point Ethernet based optical access system”</w:t>
              </w:r>
            </w:hyperlink>
            <w:r w:rsidR="00A11163" w:rsidRPr="004567E2">
              <w:rPr>
                <w:rFonts w:ascii="Times New Roman" w:hAnsi="Times New Roman" w:cs="Times New Roman"/>
                <w:sz w:val="24"/>
                <w:szCs w:val="24"/>
              </w:rPr>
              <w:t xml:space="preserve"> describes the 100 Mbit/s point-to-point Ethernet based optical access system, including ODN (optical distribution network) specification, physical </w:t>
            </w:r>
            <w:r w:rsidR="00A11163" w:rsidRPr="004567E2">
              <w:rPr>
                <w:rFonts w:ascii="Times New Roman" w:hAnsi="Times New Roman" w:cs="Times New Roman"/>
                <w:sz w:val="24"/>
                <w:szCs w:val="24"/>
              </w:rPr>
              <w:lastRenderedPageBreak/>
              <w:t>layer specification and the requirements for the OAM (operation, administration and maintenance). This Recommendation is based on 1-fiber WDM bidirectional transmission system.</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12" w:tooltip="1 Gbit/s point-to-point Ethernet-based optical access system" w:history="1">
              <w:r w:rsidR="00A11163" w:rsidRPr="004567E2">
                <w:rPr>
                  <w:rStyle w:val="Hyperlink"/>
                  <w:rFonts w:ascii="Times New Roman" w:hAnsi="Times New Roman" w:cs="Times New Roman"/>
                  <w:sz w:val="24"/>
                  <w:szCs w:val="24"/>
                </w:rPr>
                <w:t>Recommendation ITU-T G.986 “1 Gbit/s point-to-point Ethernet-based optical access system”</w:t>
              </w:r>
            </w:hyperlink>
            <w:r w:rsidR="00A11163" w:rsidRPr="004567E2">
              <w:rPr>
                <w:rFonts w:ascii="Times New Roman" w:hAnsi="Times New Roman" w:cs="Times New Roman"/>
                <w:sz w:val="24"/>
                <w:szCs w:val="24"/>
              </w:rPr>
              <w:t xml:space="preserve"> describes a 1 Gbit/s point-to-point Ethernet-based optical access system for the optical access services including the optical distribution network (ODN) specification, the physical layer specification and the operation, administration and maintenance (OAM) specification.” </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13" w:tooltip="10-Gigabit-capable passive optical network (XG-PON) systems: Definitions, abbreviations and acronyms" w:history="1">
              <w:r w:rsidR="00A11163" w:rsidRPr="004567E2">
                <w:rPr>
                  <w:rStyle w:val="Hyperlink"/>
                  <w:rFonts w:ascii="Times New Roman" w:hAnsi="Times New Roman" w:cs="Times New Roman"/>
                  <w:sz w:val="24"/>
                  <w:szCs w:val="24"/>
                </w:rPr>
                <w:t>Recommendation ITU-T G.987 “10-Gigabit-capable passive optical network (XG-PON) systems: Definitions, abbreviations and acronyms”</w:t>
              </w:r>
            </w:hyperlink>
            <w:r w:rsidR="00A11163" w:rsidRPr="004567E2">
              <w:rPr>
                <w:rFonts w:ascii="Times New Roman" w:hAnsi="Times New Roman" w:cs="Times New Roman"/>
                <w:sz w:val="24"/>
                <w:szCs w:val="24"/>
              </w:rPr>
              <w:t xml:space="preserve"> contains the common definitions, acronyms, abbreviations and conventions of the ITU-T G.987.x-series Recommendations.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14" w:tooltip="10-Gigabit-capable passive optical networks (XG-PON): General requirements" w:history="1">
              <w:r w:rsidR="00A11163" w:rsidRPr="004567E2">
                <w:rPr>
                  <w:rStyle w:val="Hyperlink"/>
                  <w:rFonts w:ascii="Times New Roman" w:hAnsi="Times New Roman" w:cs="Times New Roman"/>
                  <w:sz w:val="24"/>
                  <w:szCs w:val="24"/>
                </w:rPr>
                <w:t>Recommendation ITU-T G.987.1 “10-Gigabit-capable passive optical networks (XG-PON): General requirements”</w:t>
              </w:r>
            </w:hyperlink>
            <w:r w:rsidR="00A11163" w:rsidRPr="004567E2">
              <w:rPr>
                <w:rFonts w:ascii="Times New Roman" w:hAnsi="Times New Roman" w:cs="Times New Roman"/>
                <w:sz w:val="24"/>
                <w:szCs w:val="24"/>
              </w:rPr>
              <w:t xml:space="preserve"> addresses the general requirements of 10 Gigabit-capable passive optical network (XG-PON) systems, in order to guide and motivate the physical layer and the transmission convergence layer specifications. The general requirements include examples of services, user network interfaces (UNIs) and service node interfaces (SNIs), as well as the principal deployment configurations that are requested by network operators. This Recommendation also includes the system and operational requirements to meet the needs of supporting various business and residential applications.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15" w:history="1">
              <w:r w:rsidR="00A11163" w:rsidRPr="004567E2">
                <w:rPr>
                  <w:rStyle w:val="Hyperlink"/>
                  <w:rFonts w:ascii="Times New Roman" w:hAnsi="Times New Roman" w:cs="Times New Roman"/>
                  <w:sz w:val="24"/>
                  <w:szCs w:val="24"/>
                </w:rPr>
                <w:t>Recommendation ITU-T G.987.2 “10-Gigabit-capable passive optical networks (XG-PON): Physical media dependent (PMD) layer specification”</w:t>
              </w:r>
            </w:hyperlink>
            <w:r w:rsidR="00A11163" w:rsidRPr="004567E2">
              <w:rPr>
                <w:rFonts w:ascii="Times New Roman" w:hAnsi="Times New Roman" w:cs="Times New Roman"/>
                <w:sz w:val="24"/>
                <w:szCs w:val="24"/>
              </w:rPr>
              <w:t xml:space="preserve"> describes the physical layer requirements and specifications for the XG-PON physical media dependent (PMD) layer. Wavelength enhancement bands are described in ITU-T Rec. G.987.1. The transmission convergence (TC) layer is described in ITU-T Rec. G.987.3. The ONU management and control interface (OMCI) specifications are described in ITU-T Rec. G.988. </w:t>
            </w:r>
            <w:r w:rsidR="00A11163" w:rsidRPr="004567E2">
              <w:rPr>
                <w:rFonts w:ascii="Times New Roman" w:hAnsi="Times New Roman" w:cs="Times New Roman"/>
                <w:sz w:val="24"/>
                <w:szCs w:val="24"/>
              </w:rPr>
              <w:br/>
              <w:t xml:space="preserve">Recommendation ITU-T G.987.2 describes a flexible optical fibre access network </w:t>
            </w:r>
            <w:r w:rsidR="00A11163" w:rsidRPr="004567E2">
              <w:rPr>
                <w:rFonts w:ascii="Times New Roman" w:hAnsi="Times New Roman" w:cs="Times New Roman"/>
                <w:sz w:val="24"/>
                <w:szCs w:val="24"/>
              </w:rPr>
              <w:lastRenderedPageBreak/>
              <w:t>capable of supporting the bandwidth requirements of business and residential services. The G.987 series of standards allows for multiple upstream and downstream line rates. This recommendation currently defines one type of 10-Gigabit-capable passive optical network (XG-PON) system with asymmetric nominal line rate of 9.95328 Gbit/s in the downstream direction and 2.48832 Gbit/s in the upstream direction, hereinafter referred to as XG-PON1.</w:t>
            </w:r>
            <w:r w:rsidR="00A11163" w:rsidRPr="004567E2">
              <w:rPr>
                <w:rFonts w:ascii="Times New Roman" w:hAnsi="Times New Roman" w:cs="Times New Roman"/>
                <w:sz w:val="24"/>
                <w:szCs w:val="24"/>
              </w:rPr>
              <w:br/>
              <w:t>This Recommendation describes a system that represents an evolutionary development from the systems described in the ITU-T G.984 series. To the greatest extent possible, this Recommendation maintains the requirements of Rec. ITU-T G.984.1 to ensure maximal continuity with existing systems and optical fibre infrastructure.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16" w:history="1">
              <w:r w:rsidR="00A11163" w:rsidRPr="004567E2">
                <w:rPr>
                  <w:rStyle w:val="Hyperlink"/>
                  <w:rFonts w:ascii="Times New Roman" w:hAnsi="Times New Roman" w:cs="Times New Roman"/>
                  <w:sz w:val="24"/>
                  <w:szCs w:val="24"/>
                </w:rPr>
                <w:t>Recommendation ITU-T G.987.2 Amd.1 “10-Gigabit-capable passive optical networks (XG-PON): Physical media dependent (PMD) layer specification - Amendment 1”</w:t>
              </w:r>
            </w:hyperlink>
            <w:r w:rsidR="00A11163" w:rsidRPr="004567E2">
              <w:rPr>
                <w:rFonts w:ascii="Times New Roman" w:hAnsi="Times New Roman" w:cs="Times New Roman"/>
                <w:sz w:val="24"/>
                <w:szCs w:val="24"/>
              </w:rPr>
              <w:t xml:space="preserve"> continues the maintenance and evolution of Physical media dependent (PMD) layer specifications for XG-PON as defined in Recommendation ITU-T G.987.2 (2016-02).</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17" w:history="1">
              <w:r w:rsidR="00A11163" w:rsidRPr="004567E2">
                <w:rPr>
                  <w:rStyle w:val="Hyperlink"/>
                  <w:rFonts w:ascii="Times New Roman" w:hAnsi="Times New Roman" w:cs="Times New Roman"/>
                  <w:sz w:val="24"/>
                  <w:szCs w:val="24"/>
                </w:rPr>
                <w:t>Recommendation ITU-T G.987.3 “10-Gigabit-capable passive optical networks (XG-PON): Transmission convergence (TC) layer specification”</w:t>
              </w:r>
            </w:hyperlink>
            <w:r w:rsidR="00A11163" w:rsidRPr="004567E2">
              <w:rPr>
                <w:rFonts w:ascii="Times New Roman" w:hAnsi="Times New Roman" w:cs="Times New Roman"/>
                <w:sz w:val="24"/>
                <w:szCs w:val="24"/>
              </w:rPr>
              <w:t xml:space="preserve"> describes the transmission convergence layer for 10</w:t>
            </w:r>
            <w:r w:rsidR="00A11163" w:rsidRPr="004567E2">
              <w:rPr>
                <w:rFonts w:ascii="Times New Roman" w:hAnsi="Times New Roman" w:cs="Times New Roman"/>
                <w:sz w:val="24"/>
                <w:szCs w:val="24"/>
              </w:rPr>
              <w:noBreakHyphen/>
              <w:t>gigabit</w:t>
            </w:r>
            <w:r w:rsidR="00A11163" w:rsidRPr="004567E2">
              <w:rPr>
                <w:rFonts w:ascii="Times New Roman" w:hAnsi="Times New Roman" w:cs="Times New Roman"/>
                <w:sz w:val="24"/>
                <w:szCs w:val="24"/>
              </w:rPr>
              <w:noBreakHyphen/>
              <w:t>capable passive optical network systems – a family of flexible access network systems that operate over a point-to-multipoint optical access infrastructure at nominal data rates in the order of 10.0 Gbit/s in at least one direction, while providing a wide range of broadband and narrow-band services to end-users.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18" w:tooltip="10-Gigabit-capable passive optical networks (XG-PON): Reach extension" w:history="1">
              <w:r w:rsidR="00A11163" w:rsidRPr="004567E2">
                <w:rPr>
                  <w:rStyle w:val="Hyperlink"/>
                  <w:rFonts w:ascii="Times New Roman" w:hAnsi="Times New Roman" w:cs="Times New Roman"/>
                  <w:sz w:val="24"/>
                  <w:szCs w:val="24"/>
                </w:rPr>
                <w:t>Recommendation ITU-T G.987.4 “10-Gigabit-capable passive optical networks (XG-PON): Reach extension”</w:t>
              </w:r>
            </w:hyperlink>
            <w:r w:rsidR="00A11163" w:rsidRPr="004567E2">
              <w:rPr>
                <w:rFonts w:ascii="Times New Roman" w:hAnsi="Times New Roman" w:cs="Times New Roman"/>
                <w:sz w:val="24"/>
                <w:szCs w:val="24"/>
              </w:rPr>
              <w:t xml:space="preserve"> outlines the architecture and interface parameters for 10 Gigabit-capable passive optical network (XG-PON) systems with extended reach using a physical layer reach extension device, such as a regenerator or optical amplifier in the fibre link between the optical line termination (OLT) and optical network unit (ONU). Wavelength converting, continuous mode, 1:N and </w:t>
            </w:r>
            <w:r w:rsidR="00A11163" w:rsidRPr="004567E2">
              <w:rPr>
                <w:rFonts w:ascii="Times New Roman" w:hAnsi="Times New Roman" w:cs="Times New Roman"/>
                <w:sz w:val="24"/>
                <w:szCs w:val="24"/>
              </w:rPr>
              <w:lastRenderedPageBreak/>
              <w:t>combination type reach extenders are also described. The maximum reach is up to 60 km with loss budgets of in excess of 28.5 dB being achievable in both spans.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19" w:tooltip="ONU management and control interface (OMCI) specification" w:history="1">
              <w:r w:rsidR="00A11163" w:rsidRPr="004567E2">
                <w:rPr>
                  <w:rStyle w:val="Hyperlink"/>
                  <w:rFonts w:ascii="Times New Roman" w:hAnsi="Times New Roman" w:cs="Times New Roman"/>
                  <w:sz w:val="24"/>
                  <w:szCs w:val="24"/>
                </w:rPr>
                <w:t>Recommendation ITU-T G.988 “ONU management and control interface (OMCI) specification”</w:t>
              </w:r>
            </w:hyperlink>
            <w:r w:rsidR="00A11163" w:rsidRPr="004567E2">
              <w:rPr>
                <w:rFonts w:ascii="Times New Roman" w:hAnsi="Times New Roman" w:cs="Times New Roman"/>
                <w:sz w:val="24"/>
                <w:szCs w:val="24"/>
              </w:rPr>
              <w:t xml:space="preserve"> specifies the optical network unit (ONU) management and control interface (OMCI) for optical access networks.</w:t>
            </w:r>
            <w:r w:rsidR="00A11163" w:rsidRPr="004567E2">
              <w:rPr>
                <w:rFonts w:ascii="Times New Roman" w:hAnsi="Times New Roman" w:cs="Times New Roman"/>
                <w:sz w:val="24"/>
                <w:szCs w:val="24"/>
              </w:rPr>
              <w:br/>
              <w:t>This Recommendation specifies the managed entities of a protocol-independent management information base (MIB) that models the exchange of information between an optical line termination (OLT) and an optical network unit (ONU). In addition, it covers the ONU management and control channel, protocol and detailed messages.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20" w:tooltip="40-Gigabit-capable passive optical networks (NG-PON2): Definitions, abbreviations and acronyms" w:history="1">
              <w:r w:rsidR="00A11163" w:rsidRPr="004567E2">
                <w:rPr>
                  <w:rStyle w:val="Hyperlink"/>
                  <w:rFonts w:ascii="Times New Roman" w:hAnsi="Times New Roman" w:cs="Times New Roman"/>
                  <w:sz w:val="24"/>
                  <w:szCs w:val="24"/>
                </w:rPr>
                <w:t>Recommendation ITU-T G.989 “40-Gigabit-capable passive optical networks (NG-PON2): Definitions, abbreviations and acronyms”</w:t>
              </w:r>
            </w:hyperlink>
            <w:r w:rsidR="00A11163" w:rsidRPr="004567E2">
              <w:rPr>
                <w:rFonts w:ascii="Times New Roman" w:hAnsi="Times New Roman" w:cs="Times New Roman"/>
                <w:sz w:val="24"/>
                <w:szCs w:val="24"/>
              </w:rPr>
              <w:t xml:space="preserve"> contains the common definitions, acronyms, abbreviations, and conventions of the ITU-T G.989 series of Recommendations.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21" w:tooltip="40-Gigabit-capable passive optical networks (NG-PON2): General requirements" w:history="1">
              <w:r w:rsidR="00A11163" w:rsidRPr="004567E2">
                <w:rPr>
                  <w:rStyle w:val="Hyperlink"/>
                  <w:rFonts w:ascii="Times New Roman" w:hAnsi="Times New Roman" w:cs="Times New Roman"/>
                  <w:sz w:val="24"/>
                  <w:szCs w:val="24"/>
                </w:rPr>
                <w:t>Recommendation ITU-T G.989.1 “40-Gigabit-capable passive optical networks (NG-PON2): General requirements”</w:t>
              </w:r>
            </w:hyperlink>
            <w:r w:rsidR="00A11163" w:rsidRPr="004567E2">
              <w:rPr>
                <w:rFonts w:ascii="Times New Roman" w:hAnsi="Times New Roman" w:cs="Times New Roman"/>
                <w:sz w:val="24"/>
                <w:szCs w:val="24"/>
              </w:rPr>
              <w:t xml:space="preserve"> describes 40-Gigabit-capable passive optical network (NG PON2) systems in an optical access network for residential, business, mobile backhaul and other applications. </w:t>
            </w:r>
            <w:r w:rsidR="00A11163" w:rsidRPr="004567E2">
              <w:rPr>
                <w:rFonts w:ascii="Times New Roman" w:hAnsi="Times New Roman" w:cs="Times New Roman"/>
                <w:sz w:val="24"/>
                <w:szCs w:val="24"/>
              </w:rPr>
              <w:br/>
              <w:t>Recommendation ITU-T G.989.1 addresses the general requirements of 40-Gigabit-capable passive optical network (NG-PON2) systems, in order to guide and motivate the physical layer and the transmission convergence layer specifications. This Recommendation includes principal deployment configurations, migration scenarios from legacy PON systems, and system requirements This Recommendation also includes the service and operational requirements to provide a robust and flexible optical access network supporting all access applications.</w:t>
            </w:r>
            <w:r w:rsidR="00A11163" w:rsidRPr="004567E2">
              <w:rPr>
                <w:rFonts w:ascii="Times New Roman" w:hAnsi="Times New Roman" w:cs="Times New Roman"/>
                <w:sz w:val="24"/>
                <w:szCs w:val="24"/>
              </w:rPr>
              <w:br/>
              <w:t xml:space="preserve">The physical layer specifications for the NG-PON2 physical media dependent (PMD) layer are described in Recommendation ITU-T G.989.2. The transmission convergence (TC) layer is described in Recommendation ITU-T G.987.3, with unique modifications for NG-PON2 systems captured in Recommendation ITU-T </w:t>
            </w:r>
            <w:r w:rsidR="00A11163" w:rsidRPr="004567E2">
              <w:rPr>
                <w:rFonts w:ascii="Times New Roman" w:hAnsi="Times New Roman" w:cs="Times New Roman"/>
                <w:sz w:val="24"/>
                <w:szCs w:val="24"/>
              </w:rPr>
              <w:lastRenderedPageBreak/>
              <w:t>G.989.3. The ONU management and control interface (OMCI) specifications are described in Recommendation ITU-T G.988 for NG-PON2 extensions.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22" w:history="1">
              <w:r w:rsidR="00A11163" w:rsidRPr="004567E2">
                <w:rPr>
                  <w:rStyle w:val="Hyperlink"/>
                  <w:rFonts w:ascii="Times New Roman" w:hAnsi="Times New Roman" w:cs="Times New Roman"/>
                  <w:sz w:val="24"/>
                  <w:szCs w:val="24"/>
                </w:rPr>
                <w:t>Recommendation ITU-T G.989.2 “40-Gigabit-capable passive optical networks 2 (NG-PON2): Physical media dependent (PMD) layer specification”</w:t>
              </w:r>
            </w:hyperlink>
            <w:r w:rsidR="00A11163" w:rsidRPr="004567E2">
              <w:rPr>
                <w:rFonts w:ascii="Times New Roman" w:hAnsi="Times New Roman" w:cs="Times New Roman"/>
                <w:sz w:val="24"/>
                <w:szCs w:val="24"/>
              </w:rPr>
              <w:t xml:space="preserve"> specifies the physical media dependent (PMD) layer requirements for a passive optical network (PON) system with a nominal aggregate capacity of 40 Gbit/s in the downstream direction and 10 Gbit/s in the upstream direction, hereinafter referred to as NG-PON2. NG-PON2 is a flexible optical fibre access network capable of supporting the bandwidth requirements of mobile backhaul, business and residential services. Furthermore, this Recommendation describes optional configurations, to extend beyond this nominal capacity, as the ITU-T G.989 series of Recommendations allows for multiple upstream and downstream line rates.</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The NG-PON2 wavelength plan is defined to enable the coexistence through wavelength overlay with legacy PON systems (see ITU-T G.989.1). The transmission convergence (TC) layer is based on Recommendation ITU-T G.987.3, with unique modifications for NG-PON2 captured in Recommendation ITU-T G.989.3. The optical network unit (ONU) management and control interface (OMCI) specifications are described in Recommendation ITU-T G.988 for NG-PON2 extensions.</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This Recommendation specifies the characteristics of hybrid time and wavelength division multiplexing (TWDM) channels, referred to as TWDM PON. The characteristics of optional, tunable point-to-point wavelength overlay channels are also described, referred to as point-to-point wavelength division multiplexing (PtP WDM) PON.</w:t>
            </w:r>
          </w:p>
          <w:p w:rsidR="00A11163" w:rsidRPr="004567E2" w:rsidRDefault="00A11163" w:rsidP="00A11163">
            <w:pPr>
              <w:pStyle w:val="ListParagraph"/>
              <w:ind w:left="0"/>
              <w:contextualSpacing w:val="0"/>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 xml:space="preserve">The TWDM PON described in this Recommendation represents a further development from the systems described in the ITU-T G.984 and ITU-T G.987 series of Recommendations. To the greatest extent possible, this Recommendation retains the requirements of ITU-T G.984.1 and ITU-T G.987.1 to ensure maximal </w:t>
            </w:r>
            <w:r w:rsidRPr="004567E2">
              <w:rPr>
                <w:rFonts w:ascii="Times New Roman" w:hAnsi="Times New Roman" w:cs="Times New Roman"/>
                <w:sz w:val="24"/>
                <w:szCs w:val="24"/>
              </w:rPr>
              <w:lastRenderedPageBreak/>
              <w:t>reuse of existing technology and compatibility with deployed optical access systems and optical fibre infrastructure.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23" w:history="1">
              <w:r w:rsidR="00A11163" w:rsidRPr="004567E2">
                <w:rPr>
                  <w:rStyle w:val="Hyperlink"/>
                  <w:rFonts w:ascii="Times New Roman" w:hAnsi="Times New Roman" w:cs="Times New Roman"/>
                  <w:sz w:val="24"/>
                  <w:szCs w:val="24"/>
                </w:rPr>
                <w:t>Recommendation ITU-T G.989.2 (2014) Amd.2 “40-Gigabit-capable passive optical networks (NG PON2): Physical media dependent (PMD) layer specification: Amendment 2”</w:t>
              </w:r>
            </w:hyperlink>
            <w:r w:rsidR="00A11163" w:rsidRPr="004567E2">
              <w:rPr>
                <w:rFonts w:ascii="Times New Roman" w:hAnsi="Times New Roman" w:cs="Times New Roman"/>
                <w:sz w:val="24"/>
                <w:szCs w:val="24"/>
              </w:rPr>
              <w:t xml:space="preserve"> (under approval) continues the maintenance and evolution of Physical media dependent (PMD) layer specification as defined in Recommendation ITU-T G.989.2 (2014).</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24" w:history="1">
              <w:r w:rsidR="00A11163" w:rsidRPr="004567E2">
                <w:rPr>
                  <w:rStyle w:val="Hyperlink"/>
                  <w:rFonts w:ascii="Times New Roman" w:hAnsi="Times New Roman" w:cs="Times New Roman"/>
                  <w:sz w:val="24"/>
                  <w:szCs w:val="24"/>
                </w:rPr>
                <w:t>Recommendation ITU-T G.989.3 “40-Gigabit-capable passive optical networks (NG-PON2): Transmission convergence layer specification”</w:t>
              </w:r>
            </w:hyperlink>
            <w:r w:rsidR="00A11163" w:rsidRPr="004567E2">
              <w:rPr>
                <w:rFonts w:ascii="Times New Roman" w:hAnsi="Times New Roman" w:cs="Times New Roman"/>
                <w:sz w:val="24"/>
                <w:szCs w:val="24"/>
              </w:rPr>
              <w:t xml:space="preserve"> specifies the transmission convergence layer of 40 Gigabit-capable passive optical network (NG-PON2) systems providing optical access for residential, business, mobile backhaul, and other applications. </w:t>
            </w:r>
            <w:r w:rsidR="00A11163" w:rsidRPr="004567E2">
              <w:rPr>
                <w:rFonts w:ascii="Times New Roman" w:hAnsi="Times New Roman" w:cs="Times New Roman"/>
                <w:sz w:val="24"/>
                <w:szCs w:val="24"/>
              </w:rPr>
              <w:br/>
              <w:t>An NG-PON2 system supports multiple wavelength channels and enables flexibility to add capacity as the demand grows to 100 Gbit/s and beyond. An NG-PON2 system may contain a set of TWDM channels, or a set of PtP WDM channels, or both. The TWDM channels operate at the nominal line rates of 9.95328 and 2.48832 Gbit/s in both downstream and upstream directions. The PtP WDM channels support nominal line rate classes of 1.25 Gbit/s, 2.5 Gbit/s, and 10 Gbit/s, depending on the PtP WDM client.</w:t>
            </w:r>
            <w:r w:rsidR="00A11163" w:rsidRPr="004567E2">
              <w:rPr>
                <w:rFonts w:ascii="Times New Roman" w:hAnsi="Times New Roman" w:cs="Times New Roman"/>
                <w:sz w:val="24"/>
                <w:szCs w:val="24"/>
              </w:rPr>
              <w:br/>
              <w:t xml:space="preserve">The transmission convergence (TC) layer is the protocol layer of the NG-PON2 system that is positioned between the physical media dependent (PMD) layer and service clients. It builds on [ITU-T G.987.3], with modifications for NG-PON2 specific features. </w:t>
            </w:r>
            <w:r w:rsidR="00A11163" w:rsidRPr="004567E2">
              <w:rPr>
                <w:rFonts w:ascii="Times New Roman" w:hAnsi="Times New Roman" w:cs="Times New Roman"/>
                <w:sz w:val="24"/>
                <w:szCs w:val="24"/>
              </w:rPr>
              <w:br/>
              <w:t>This Recommendation forms an integral part of the ITU-T G.989 series of ITU-T Recommendations [ITU-T G.989], [ITU-T G.989.1], [ITU-T G.989.2] that, together with the ONU management and control interface (OMCI) [ITU-T G.988], specifies a coherent set of access transmission systems. The NG-PON2 system is also a member of the [b-ITU-T G.9802] family.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A11163" w:rsidP="00A11163">
            <w:pPr>
              <w:widowControl w:val="0"/>
              <w:rPr>
                <w:rStyle w:val="Hyperlink"/>
                <w:rFonts w:ascii="Times New Roman" w:hAnsi="Times New Roman" w:cs="Times New Roman"/>
                <w:sz w:val="24"/>
                <w:szCs w:val="24"/>
              </w:rPr>
            </w:pPr>
            <w:r w:rsidRPr="004567E2">
              <w:rPr>
                <w:rStyle w:val="Hyperlink"/>
                <w:rFonts w:ascii="Times New Roman" w:hAnsi="Times New Roman" w:cs="Times New Roman"/>
                <w:sz w:val="24"/>
                <w:szCs w:val="24"/>
              </w:rPr>
              <w:t xml:space="preserve">Recommendation ITU-T G.989.3 Amd2 “40-Gigabit-capable passive optical </w:t>
            </w:r>
            <w:r w:rsidRPr="004567E2">
              <w:rPr>
                <w:rStyle w:val="Hyperlink"/>
                <w:rFonts w:ascii="Times New Roman" w:hAnsi="Times New Roman" w:cs="Times New Roman"/>
                <w:sz w:val="24"/>
                <w:szCs w:val="24"/>
              </w:rPr>
              <w:lastRenderedPageBreak/>
              <w:t xml:space="preserve">networks (NG PON2): Transmission Convergence (TC) layer specification – Amendment 2” </w:t>
            </w:r>
            <w:r w:rsidRPr="004567E2">
              <w:rPr>
                <w:rStyle w:val="Hyperlink"/>
                <w:rFonts w:ascii="Times New Roman" w:hAnsi="Times New Roman" w:cs="Times New Roman"/>
                <w:color w:val="auto"/>
                <w:sz w:val="24"/>
                <w:szCs w:val="24"/>
                <w:u w:val="none"/>
              </w:rPr>
              <w:t>continues the evolution of NG-PON2 Transmission Convergence (TC) layer, introducing TWDM channel bonding, making additions and changes to the PLOAM channel, providing DBA enhancements, and performing regular specification maintenance.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25" w:tooltip="High bit rate digital subscriber line (HDSL) transceivers" w:history="1">
              <w:r w:rsidR="00A11163" w:rsidRPr="004567E2">
                <w:rPr>
                  <w:rStyle w:val="Hyperlink"/>
                  <w:rFonts w:ascii="Times New Roman" w:hAnsi="Times New Roman" w:cs="Times New Roman"/>
                  <w:sz w:val="24"/>
                  <w:szCs w:val="24"/>
                </w:rPr>
                <w:t>Recommendation ITU-T G.991.1 “High bit rate digital subscriber line (HDSL) transceivers”</w:t>
              </w:r>
            </w:hyperlink>
            <w:r w:rsidR="00A11163" w:rsidRPr="004567E2">
              <w:rPr>
                <w:rFonts w:ascii="Times New Roman" w:hAnsi="Times New Roman" w:cs="Times New Roman"/>
                <w:sz w:val="24"/>
                <w:szCs w:val="24"/>
              </w:rPr>
              <w:t xml:space="preserve"> specifies a High bit rate Digital Subscriber Line (HDSL) which is a bidirectional and symmetrical transmission system that allows the transport of signals with a bit rate of 1544 kbit/s or 2048 kbit/s on the copper twisted pairs of an access network. The basic work has been carried out in the ANSI T1 committee for 1544 kbit/s signals. The results of this work were taken by TM6 of ETSI and adopted for 2048 kbit/s signals in a technical specification, which built the basis for this Recommendation.The HDSL system uses echo cancellation technique for the separation of the directions of transmission, so that one twisted pair can carry both directions. Two different options for the line code are recommended, the Pulse Amplitude Modulation 2B1Q and the Carrierless Amplitude/Phase Modulation CAP. CAP is applicable for 2048 kbit/s only, while for 2B1Q two different frames for 1544 kbit/s and 2048 kbit/s are defined.The 2B1Q for 2048 kbit/s caters for both duplex transmission on a single pair and parallel transmission on two or three-pairs. This allows for the distribution of the signal to several pairs and for reduction of the symbol rate and an increase of the line length. CAP is defined for one- or two-pairs only and the 1544 kbit/s 2B1Q for two-pairs only.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26" w:tooltip="Single-pair high-speed digital subscriber line (SHDSL) transceivers" w:history="1">
              <w:r w:rsidR="00A11163" w:rsidRPr="004567E2">
                <w:rPr>
                  <w:rStyle w:val="Hyperlink"/>
                  <w:rFonts w:ascii="Times New Roman" w:hAnsi="Times New Roman" w:cs="Times New Roman"/>
                  <w:sz w:val="24"/>
                  <w:szCs w:val="24"/>
                </w:rPr>
                <w:t>Recommendation ITU-T G.991.2 “Single-pair high-speed digital subscriber line (SHDSL) transceivers”</w:t>
              </w:r>
            </w:hyperlink>
            <w:r w:rsidR="00A11163" w:rsidRPr="004567E2">
              <w:rPr>
                <w:rFonts w:ascii="Times New Roman" w:hAnsi="Times New Roman" w:cs="Times New Roman"/>
                <w:sz w:val="24"/>
                <w:szCs w:val="24"/>
              </w:rPr>
              <w:t xml:space="preserve"> describes a transmission method for data transport in telecommunications access networks. SHDSL transceivers are designed primarily for duplex operation over mixed gauge two-wire twisted metallic pairs. Optional multi-pair operation is supported for extended reach applications. Optional signal regenerators for both single-pair and multi-pair operation are specified, as well. SHDSL transceivers are capable of supporting selected symmetric user data rates in </w:t>
            </w:r>
            <w:r w:rsidR="00A11163" w:rsidRPr="004567E2">
              <w:rPr>
                <w:rFonts w:ascii="Times New Roman" w:hAnsi="Times New Roman" w:cs="Times New Roman"/>
                <w:sz w:val="24"/>
                <w:szCs w:val="24"/>
              </w:rPr>
              <w:lastRenderedPageBreak/>
              <w:t>the range of 192 kbit/s to 2312 kbit/s using a Trellis Coded Pulse Amplitude Modulation (TCPAM) line code. Optional extensions described in Annex F allow user data rates up to 5696 kbit/s. SHDSL transceivers are designed to be spectrally compatible with other transmission technologies deployed in the access network, including other DSL technologies. SHDSL transceivers do not support the use of analogue splitting technology for coexistence with either POTS or ISDN. Regional requirements, including both operational differences and performance requirements, are specified in Annexes A, B and C. Requirements for signal regenerators are specified in Annex D. Annex E describes application-specific framing modes that may be supported by SHDSL transceivers. See Annex H/G.992.1 [1] for specifications of transceivers for use in networks with existing TCM-ISDN service (as specified in Appendix III/G.961, in Bibliography [B1]).</w:t>
            </w:r>
            <w:r w:rsidR="00A11163" w:rsidRPr="004567E2">
              <w:rPr>
                <w:rFonts w:ascii="Times New Roman" w:hAnsi="Times New Roman" w:cs="Times New Roman"/>
                <w:sz w:val="24"/>
                <w:szCs w:val="24"/>
              </w:rPr>
              <w:br/>
              <w:t>History:With respect to the previous version 1 (2001), this version 2 introduces the following additions and modifications:</w:t>
            </w:r>
            <w:r w:rsidR="00A11163" w:rsidRPr="004567E2">
              <w:rPr>
                <w:rFonts w:ascii="Times New Roman" w:hAnsi="Times New Roman" w:cs="Times New Roman"/>
                <w:sz w:val="24"/>
                <w:szCs w:val="24"/>
              </w:rPr>
              <w:br/>
              <w:t>• The optional four-wire mode has been extended to a more general multi-pair mode which provides optional support for up to four-pair connections. See 7.2.1.5. Note that the integrity of the optional 4-wire mode in revision 1 is preserved. The four-wire mode is identical to M-pair mode with M = 2, except for the method of assigning ordinal numbers to the wire pairs. In four-wire mode, the ordinal numbers (the wire pair identification number) are assigned as described in 6.3, while in M-pair mode the ordinal numbers are assigned to wire pairs as described in 7.2.1.5.</w:t>
            </w:r>
            <w:r w:rsidR="00A11163" w:rsidRPr="004567E2">
              <w:rPr>
                <w:rFonts w:ascii="Times New Roman" w:hAnsi="Times New Roman" w:cs="Times New Roman"/>
                <w:sz w:val="24"/>
                <w:szCs w:val="24"/>
              </w:rPr>
              <w:br/>
              <w:t>• The loops and test conditions specified in Annex B have been updated (see B.3.3), and Appendix IV, Tabulation of Annex B Noise Profiles, has been added.</w:t>
            </w:r>
            <w:r w:rsidR="00A11163" w:rsidRPr="004567E2">
              <w:rPr>
                <w:rFonts w:ascii="Times New Roman" w:hAnsi="Times New Roman" w:cs="Times New Roman"/>
                <w:sz w:val="24"/>
                <w:szCs w:val="24"/>
              </w:rPr>
              <w:br/>
              <w:t>• Optional extensions, described in Annex F, allow user data rates up to 5696 kbit/s.</w:t>
            </w:r>
            <w:r w:rsidR="00A11163" w:rsidRPr="004567E2">
              <w:rPr>
                <w:rFonts w:ascii="Times New Roman" w:hAnsi="Times New Roman" w:cs="Times New Roman"/>
                <w:sz w:val="24"/>
                <w:szCs w:val="24"/>
              </w:rPr>
              <w:br/>
              <w:t>• Deactivation and warm-start, as specified in Annex H, have been added.</w:t>
            </w:r>
            <w:r w:rsidR="00A11163" w:rsidRPr="004567E2">
              <w:rPr>
                <w:rFonts w:ascii="Times New Roman" w:hAnsi="Times New Roman" w:cs="Times New Roman"/>
                <w:sz w:val="24"/>
                <w:szCs w:val="24"/>
              </w:rPr>
              <w:br/>
              <w:t>• Support for Dynamic Rate Repartitioning has been added to Dual-Bearer mode. See E.10.3.</w:t>
            </w:r>
            <w:r w:rsidR="00A11163" w:rsidRPr="004567E2">
              <w:rPr>
                <w:rFonts w:ascii="Times New Roman" w:hAnsi="Times New Roman" w:cs="Times New Roman"/>
                <w:sz w:val="24"/>
                <w:szCs w:val="24"/>
              </w:rPr>
              <w:br/>
            </w:r>
            <w:r w:rsidR="00A11163" w:rsidRPr="004567E2">
              <w:rPr>
                <w:rFonts w:ascii="Times New Roman" w:hAnsi="Times New Roman" w:cs="Times New Roman"/>
                <w:sz w:val="24"/>
                <w:szCs w:val="24"/>
              </w:rPr>
              <w:lastRenderedPageBreak/>
              <w:t>• TPS-TC definitions have been added for Packet Transfer Mode (E.11), Synchronous Transfer Mode with a Dedicated Signalling Channel (E.12), and V5 Encapsulated ISDN or POTS (E.13).</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27" w:tooltip="Asymmetric digital subscriber line (ADSL) transceivers" w:history="1">
              <w:r w:rsidR="00A11163" w:rsidRPr="004567E2">
                <w:rPr>
                  <w:rStyle w:val="Hyperlink"/>
                  <w:rFonts w:ascii="Times New Roman" w:hAnsi="Times New Roman" w:cs="Times New Roman"/>
                  <w:sz w:val="24"/>
                  <w:szCs w:val="24"/>
                </w:rPr>
                <w:t>Recommendation ITU-T G.992.1 “Asymmetric digital subscriber line (ADSL) transceivers”</w:t>
              </w:r>
            </w:hyperlink>
            <w:r w:rsidR="00A11163" w:rsidRPr="004567E2">
              <w:rPr>
                <w:rFonts w:ascii="Times New Roman" w:hAnsi="Times New Roman" w:cs="Times New Roman"/>
                <w:sz w:val="24"/>
                <w:szCs w:val="24"/>
              </w:rPr>
              <w:t xml:space="preserve"> describes Asymmetric Digital Subscriber Line (ADSL) Transceivers on a metallic twisted pair that allows high-speed data transmission between the network operator end (ATU-C) and the customer end (ATU-R). This Recommendation provides a variety of bearer channels in conjunction with one of three other services dependent on the environment:1) ADSL transmission simultaneously on the same pair with voice (band) service;2) ADSL transmission simultaneously on the same pair with G.961 (Appendix I or II) ISDN services; or3) ADSL transmission on the same pair with voiceband transmission and with TCM-ISDN (G.961 Appendix III) in an adjacent pair. Systems allow approximately 6 Mbit/s downstream and approximately 640 kbit/s upstream data rates depending on the deployment and noise environment. This Recommendation specifies the physical layer characteristics of the Asymmetric Digital Subscriber Line (ADSL) interface to metallic loops. This Recommendation has been written to help ensure the proper interfacing and interworking of ADSL transmission units at the customer end (ATU-R) and at the network operator end (ATU-C) and also to define the transport capability of the units. Proper operation shall be ensured when these two units are manufactured and provided independently. A single twisted pair of telephone wires is used to connect the ATU-C to the ATU-R. The ADSL transmission units must deal with a variety of wire pair characteristics and typical impairments (e.g. crosstalk and noise).An ADSL transmission unit can simultaneously convey all of the following: downstream simplex bearers, duplex bearers, a baseband analogue duplex channel, and ADSL line overhead for framing, error control, operations and maintenance. Systems support a minimum of 6.144 Mbit/s downstream and 640 kbit/s upstream. This Recommendation includes mandatory requirements, recommendations and options; these are designated by the </w:t>
            </w:r>
            <w:r w:rsidR="00A11163" w:rsidRPr="004567E2">
              <w:rPr>
                <w:rFonts w:ascii="Times New Roman" w:hAnsi="Times New Roman" w:cs="Times New Roman"/>
                <w:sz w:val="24"/>
                <w:szCs w:val="24"/>
              </w:rPr>
              <w:lastRenderedPageBreak/>
              <w:t>words "shall", "should" and "may" respectively. The word "will" is used only to designate events that take place under some defined set of circumstances. Two categories of performance are specified. Category I performance is required for compliance with this Recommendation; performance enhancement options are not required for category I equipment. Category II is a higher level of performance (i.e. longer lines and greater impairments). Category II performance and characteristics are not required for compliance with this Recommendation. This Recommendation defines several optional capabilities and features:</w:t>
            </w:r>
            <w:r w:rsidR="00A11163" w:rsidRPr="004567E2">
              <w:rPr>
                <w:rFonts w:ascii="Times New Roman" w:hAnsi="Times New Roman" w:cs="Times New Roman"/>
                <w:sz w:val="24"/>
                <w:szCs w:val="24"/>
              </w:rPr>
              <w:br/>
              <w:t>• echo cancellation;</w:t>
            </w:r>
            <w:r w:rsidR="00A11163" w:rsidRPr="004567E2">
              <w:rPr>
                <w:rFonts w:ascii="Times New Roman" w:hAnsi="Times New Roman" w:cs="Times New Roman"/>
                <w:sz w:val="24"/>
                <w:szCs w:val="24"/>
              </w:rPr>
              <w:br/>
              <w:t>• trellis coded modulation;</w:t>
            </w:r>
            <w:r w:rsidR="00A11163" w:rsidRPr="004567E2">
              <w:rPr>
                <w:rFonts w:ascii="Times New Roman" w:hAnsi="Times New Roman" w:cs="Times New Roman"/>
                <w:sz w:val="24"/>
                <w:szCs w:val="24"/>
              </w:rPr>
              <w:br/>
              <w:t>• dual latency;</w:t>
            </w:r>
            <w:r w:rsidR="00A11163" w:rsidRPr="004567E2">
              <w:rPr>
                <w:rFonts w:ascii="Times New Roman" w:hAnsi="Times New Roman" w:cs="Times New Roman"/>
                <w:sz w:val="24"/>
                <w:szCs w:val="24"/>
              </w:rPr>
              <w:br/>
              <w:t>• transport of a network timing reference;</w:t>
            </w:r>
            <w:r w:rsidR="00A11163" w:rsidRPr="004567E2">
              <w:rPr>
                <w:rFonts w:ascii="Times New Roman" w:hAnsi="Times New Roman" w:cs="Times New Roman"/>
                <w:sz w:val="24"/>
                <w:szCs w:val="24"/>
              </w:rPr>
              <w:br/>
              <w:t>• transport of STM and/or ATM;</w:t>
            </w:r>
            <w:r w:rsidR="00A11163" w:rsidRPr="004567E2">
              <w:rPr>
                <w:rFonts w:ascii="Times New Roman" w:hAnsi="Times New Roman" w:cs="Times New Roman"/>
                <w:sz w:val="24"/>
                <w:szCs w:val="24"/>
              </w:rPr>
              <w:br/>
              <w:t>• reduced overhead framing modes. It is the intention of this Recommendation to provide, by negotiation during initialization, for U-interface compatibility and interoperability between transceivers complying to this Recommendation and between transceivers that include different combinations of options.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28" w:tooltip="Splitterless asymmetric digital subscriber line (ADSL) transceivers" w:history="1">
              <w:r w:rsidR="00A11163" w:rsidRPr="004567E2">
                <w:rPr>
                  <w:rStyle w:val="Hyperlink"/>
                  <w:rFonts w:ascii="Times New Roman" w:hAnsi="Times New Roman" w:cs="Times New Roman"/>
                  <w:sz w:val="24"/>
                  <w:szCs w:val="24"/>
                </w:rPr>
                <w:t>Recommendation ITU-T G.992.2 “Splitterless asymmetric digital subscriber line (ADSL) transceivers”</w:t>
              </w:r>
            </w:hyperlink>
            <w:r w:rsidR="00A11163" w:rsidRPr="004567E2">
              <w:rPr>
                <w:rFonts w:ascii="Times New Roman" w:hAnsi="Times New Roman" w:cs="Times New Roman"/>
                <w:sz w:val="24"/>
                <w:szCs w:val="24"/>
              </w:rPr>
              <w:t xml:space="preserve"> describes the interface between the telecommunications network and the customer installation in terms of their interaction and electrical characteristics. This Recommendation allows the transmission of POTS and V-series data services simultaneously with a digital channel over a single mixed gauge twisted metallic pair. Annex C defines the procedures to operate in a TCM-ISDN noise environment. Operation in the frequency band over BRA-ISDN is for further study. This Recommendation includes procedures to allow provisioning without the need for "splitters", typically installed at the ingress to the customer premises. Additionally, power management procedures and link states are specified to achieve power savings at the central office and customer premises.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29" w:tooltip="Asymmetric digital subscriber line transceivers 2 (ADSL2)" w:history="1">
              <w:r w:rsidR="00A11163" w:rsidRPr="004567E2">
                <w:rPr>
                  <w:rStyle w:val="Hyperlink"/>
                  <w:rFonts w:ascii="Times New Roman" w:hAnsi="Times New Roman" w:cs="Times New Roman"/>
                  <w:sz w:val="24"/>
                  <w:szCs w:val="24"/>
                </w:rPr>
                <w:t xml:space="preserve">Recommendation ITU-T G.992.3 “Asymmetric digital subscriber line transceivers </w:t>
              </w:r>
              <w:r w:rsidR="00A11163" w:rsidRPr="004567E2">
                <w:rPr>
                  <w:rStyle w:val="Hyperlink"/>
                  <w:rFonts w:ascii="Times New Roman" w:hAnsi="Times New Roman" w:cs="Times New Roman"/>
                  <w:sz w:val="24"/>
                  <w:szCs w:val="24"/>
                </w:rPr>
                <w:lastRenderedPageBreak/>
                <w:t>2 (ADSL2)”</w:t>
              </w:r>
            </w:hyperlink>
            <w:r w:rsidR="00A11163" w:rsidRPr="004567E2">
              <w:rPr>
                <w:rFonts w:ascii="Times New Roman" w:hAnsi="Times New Roman" w:cs="Times New Roman"/>
                <w:sz w:val="24"/>
                <w:szCs w:val="24"/>
              </w:rPr>
              <w:t xml:space="preserve"> describes asymmetric digital subscriber line (ADSL) transceivers on a metallic twisted pair that allows high</w:t>
            </w:r>
            <w:r w:rsidR="00A11163" w:rsidRPr="004567E2">
              <w:rPr>
                <w:rFonts w:ascii="Times New Roman" w:hAnsi="Times New Roman" w:cs="Times New Roman"/>
                <w:sz w:val="24"/>
                <w:szCs w:val="24"/>
              </w:rPr>
              <w:noBreakHyphen/>
              <w:t>speed data transmission between the network operator end (ATU</w:t>
            </w:r>
            <w:r w:rsidR="00A11163" w:rsidRPr="004567E2">
              <w:rPr>
                <w:rFonts w:ascii="Times New Roman" w:hAnsi="Times New Roman" w:cs="Times New Roman"/>
                <w:sz w:val="24"/>
                <w:szCs w:val="24"/>
              </w:rPr>
              <w:noBreakHyphen/>
              <w:t>C) and the customer end (ATU</w:t>
            </w:r>
            <w:r w:rsidR="00A11163" w:rsidRPr="004567E2">
              <w:rPr>
                <w:rFonts w:ascii="Times New Roman" w:hAnsi="Times New Roman" w:cs="Times New Roman"/>
                <w:sz w:val="24"/>
                <w:szCs w:val="24"/>
              </w:rPr>
              <w:noBreakHyphen/>
              <w:t xml:space="preserve">R). It defines a variety of frame bearers in conjunction with one of two other services, or without underlying service, dependent on the environment: </w:t>
            </w:r>
            <w:r w:rsidR="00A11163" w:rsidRPr="004567E2">
              <w:rPr>
                <w:rFonts w:ascii="Times New Roman" w:hAnsi="Times New Roman" w:cs="Times New Roman"/>
                <w:sz w:val="24"/>
                <w:szCs w:val="24"/>
              </w:rPr>
              <w:br/>
              <w:t>1) ADSL transmission simultaneously on the same pair with voiceband service.</w:t>
            </w:r>
            <w:r w:rsidR="00A11163" w:rsidRPr="004567E2">
              <w:rPr>
                <w:rFonts w:ascii="Times New Roman" w:hAnsi="Times New Roman" w:cs="Times New Roman"/>
                <w:sz w:val="24"/>
                <w:szCs w:val="24"/>
              </w:rPr>
              <w:br/>
              <w:t>2) ADSL transmission simultaneously on the same pair with integrated services digital network (ISDN) (Appendix I or II of Recommendation ITU-T G.961) services.</w:t>
            </w:r>
            <w:r w:rsidR="00A11163" w:rsidRPr="004567E2">
              <w:rPr>
                <w:rFonts w:ascii="Times New Roman" w:hAnsi="Times New Roman" w:cs="Times New Roman"/>
                <w:sz w:val="24"/>
                <w:szCs w:val="24"/>
              </w:rPr>
              <w:br/>
              <w:t>3) ADSL transmission without underlying service, optimized for deployment with ADSL over voiceband service in the same binder cable.</w:t>
            </w:r>
            <w:r w:rsidR="00A11163" w:rsidRPr="004567E2">
              <w:rPr>
                <w:rFonts w:ascii="Times New Roman" w:hAnsi="Times New Roman" w:cs="Times New Roman"/>
                <w:sz w:val="24"/>
                <w:szCs w:val="24"/>
              </w:rPr>
              <w:br/>
              <w:t>4) ADSL transmission without underlying service, optimized for deployment with ADSL over ISDN service in the same binder cable.</w:t>
            </w:r>
            <w:r w:rsidR="00A11163" w:rsidRPr="004567E2">
              <w:rPr>
                <w:rFonts w:ascii="Times New Roman" w:hAnsi="Times New Roman" w:cs="Times New Roman"/>
                <w:sz w:val="24"/>
                <w:szCs w:val="24"/>
              </w:rPr>
              <w:br/>
              <w:t>5) ADSL transmission with specific requirements for Reach Extended ADSL2, simultaneously on the same pair with voiceband service.</w:t>
            </w:r>
            <w:r w:rsidR="00A11163" w:rsidRPr="004567E2">
              <w:rPr>
                <w:rFonts w:ascii="Times New Roman" w:hAnsi="Times New Roman" w:cs="Times New Roman"/>
                <w:sz w:val="24"/>
                <w:szCs w:val="24"/>
              </w:rPr>
              <w:br/>
              <w:t>6) ADSL transmission with extended upstream bandwidth, simultaneously on the same pair with voiceband service.</w:t>
            </w:r>
            <w:r w:rsidR="00A11163" w:rsidRPr="004567E2">
              <w:rPr>
                <w:rFonts w:ascii="Times New Roman" w:hAnsi="Times New Roman" w:cs="Times New Roman"/>
                <w:sz w:val="24"/>
                <w:szCs w:val="24"/>
              </w:rPr>
              <w:br/>
              <w:t>7) ADSL transmission on the same pair with voiceband services and operating in an environment with TCM</w:t>
            </w:r>
            <w:r w:rsidR="00A11163" w:rsidRPr="004567E2">
              <w:rPr>
                <w:rFonts w:ascii="Times New Roman" w:hAnsi="Times New Roman" w:cs="Times New Roman"/>
                <w:sz w:val="24"/>
                <w:szCs w:val="24"/>
              </w:rPr>
              <w:noBreakHyphen/>
              <w:t>ISDN (Appendix III of Recommendation ITU-T G.961) services in an adjacent pair.</w:t>
            </w:r>
            <w:r w:rsidR="00A11163" w:rsidRPr="004567E2">
              <w:rPr>
                <w:rFonts w:ascii="Times New Roman" w:hAnsi="Times New Roman" w:cs="Times New Roman"/>
                <w:sz w:val="24"/>
                <w:szCs w:val="24"/>
              </w:rPr>
              <w:br/>
              <w:t>This Recommendation specifies the physical layer characteristics of the asymmetric digital subscriber line (ADSL) interface to metallic loops.</w:t>
            </w:r>
            <w:r w:rsidR="00A11163" w:rsidRPr="004567E2">
              <w:rPr>
                <w:rFonts w:ascii="Times New Roman" w:hAnsi="Times New Roman" w:cs="Times New Roman"/>
                <w:sz w:val="24"/>
                <w:szCs w:val="24"/>
              </w:rPr>
              <w:br/>
              <w:t>This Recommendation has been written to help ensure the proper interfacing and interworking of ADSL transmission units at the customer end (ATU</w:t>
            </w:r>
            <w:r w:rsidR="00A11163" w:rsidRPr="004567E2">
              <w:rPr>
                <w:rFonts w:ascii="Times New Roman" w:hAnsi="Times New Roman" w:cs="Times New Roman"/>
                <w:sz w:val="24"/>
                <w:szCs w:val="24"/>
              </w:rPr>
              <w:noBreakHyphen/>
              <w:t>R) and at the network operator end (ATU</w:t>
            </w:r>
            <w:r w:rsidR="00A11163" w:rsidRPr="004567E2">
              <w:rPr>
                <w:rFonts w:ascii="Times New Roman" w:hAnsi="Times New Roman" w:cs="Times New Roman"/>
                <w:sz w:val="24"/>
                <w:szCs w:val="24"/>
              </w:rPr>
              <w:noBreakHyphen/>
              <w:t>C), and also to define the transport capability of the units. Proper operation shall be ensured when these two units are manufactured and provided independently. A single twisted pair of telephone wires is used to connect the ATU</w:t>
            </w:r>
            <w:r w:rsidR="00A11163" w:rsidRPr="004567E2">
              <w:rPr>
                <w:rFonts w:ascii="Times New Roman" w:hAnsi="Times New Roman" w:cs="Times New Roman"/>
                <w:sz w:val="24"/>
                <w:szCs w:val="24"/>
              </w:rPr>
              <w:noBreakHyphen/>
              <w:t>C to the ATU</w:t>
            </w:r>
            <w:r w:rsidR="00A11163" w:rsidRPr="004567E2">
              <w:rPr>
                <w:rFonts w:ascii="Times New Roman" w:hAnsi="Times New Roman" w:cs="Times New Roman"/>
                <w:sz w:val="24"/>
                <w:szCs w:val="24"/>
              </w:rPr>
              <w:noBreakHyphen/>
              <w:t>R. The ADSL transmission units must deal with a variety of wire pair characteristics and typical impairments (e.g., crosstalk and noise).</w:t>
            </w:r>
            <w:r w:rsidR="00A11163" w:rsidRPr="004567E2">
              <w:rPr>
                <w:rFonts w:ascii="Times New Roman" w:hAnsi="Times New Roman" w:cs="Times New Roman"/>
                <w:sz w:val="24"/>
                <w:szCs w:val="24"/>
              </w:rPr>
              <w:br/>
            </w:r>
            <w:r w:rsidR="00A11163" w:rsidRPr="004567E2">
              <w:rPr>
                <w:rFonts w:ascii="Times New Roman" w:hAnsi="Times New Roman" w:cs="Times New Roman"/>
                <w:sz w:val="24"/>
                <w:szCs w:val="24"/>
              </w:rPr>
              <w:lastRenderedPageBreak/>
              <w:t>An ADSL transmission unit can simultaneously convey all of the following: a number of downstream frame bearers; a number of upstream frame bearers; a baseband plain old telephone service (POTS)/ISDN duplex channel; and ADSL line overhead for framing, error control, operations, and maintenance. Systems support a net data rate ranging up to a minimum of 8 Mbit/s downstream and 800 kbit/s upstream. Support of net data rates above 8 Mbit/s downstream and support of net data rates above 800 kbit/s upstream are optional.</w:t>
            </w:r>
            <w:r w:rsidR="00A11163" w:rsidRPr="004567E2">
              <w:rPr>
                <w:rFonts w:ascii="Times New Roman" w:hAnsi="Times New Roman" w:cs="Times New Roman"/>
                <w:sz w:val="24"/>
                <w:szCs w:val="24"/>
              </w:rPr>
              <w:br/>
              <w:t>This Recommendation defines several optional capabilities and features:</w:t>
            </w:r>
            <w:r w:rsidR="00A11163" w:rsidRPr="004567E2">
              <w:rPr>
                <w:rFonts w:ascii="Times New Roman" w:hAnsi="Times New Roman" w:cs="Times New Roman"/>
                <w:sz w:val="24"/>
                <w:szCs w:val="24"/>
              </w:rPr>
              <w:br/>
              <w:t>• transport of STM and/or ATM and/or Packets;</w:t>
            </w:r>
            <w:r w:rsidR="00A11163" w:rsidRPr="004567E2">
              <w:rPr>
                <w:rFonts w:ascii="Times New Roman" w:hAnsi="Times New Roman" w:cs="Times New Roman"/>
                <w:sz w:val="24"/>
                <w:szCs w:val="24"/>
              </w:rPr>
              <w:br/>
              <w:t>• transport of a network timing reference;</w:t>
            </w:r>
            <w:r w:rsidR="00A11163" w:rsidRPr="004567E2">
              <w:rPr>
                <w:rFonts w:ascii="Times New Roman" w:hAnsi="Times New Roman" w:cs="Times New Roman"/>
                <w:sz w:val="24"/>
                <w:szCs w:val="24"/>
              </w:rPr>
              <w:br/>
              <w:t>• multiple latency paths;</w:t>
            </w:r>
            <w:r w:rsidR="00A11163" w:rsidRPr="004567E2">
              <w:rPr>
                <w:rFonts w:ascii="Times New Roman" w:hAnsi="Times New Roman" w:cs="Times New Roman"/>
                <w:sz w:val="24"/>
                <w:szCs w:val="24"/>
              </w:rPr>
              <w:br/>
              <w:t>• multiple frame bearers;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30" w:tooltip="Splitterless asymmetric digital subscriber line transceivers 2 (splitterless ADSL2)" w:history="1">
              <w:r w:rsidR="00A11163" w:rsidRPr="004567E2">
                <w:rPr>
                  <w:rStyle w:val="Hyperlink"/>
                  <w:rFonts w:ascii="Times New Roman" w:hAnsi="Times New Roman" w:cs="Times New Roman"/>
                  <w:sz w:val="24"/>
                  <w:szCs w:val="24"/>
                </w:rPr>
                <w:t>Recommendation ITU-T G.992.4 “Splitterless asymmetric digital subscriber line transceivers 2 (splitterless ADSL2)”</w:t>
              </w:r>
            </w:hyperlink>
            <w:r w:rsidR="00A11163" w:rsidRPr="004567E2">
              <w:rPr>
                <w:rFonts w:ascii="Times New Roman" w:hAnsi="Times New Roman" w:cs="Times New Roman"/>
                <w:sz w:val="24"/>
                <w:szCs w:val="24"/>
              </w:rPr>
              <w:t xml:space="preserve"> describes the interface between the telecommunications network and the customer installation in terms of their interaction and electrical characteristics. G.992.4 allows the transmission of POTS and V-series data services simultaneously with a digital channel over a single mixed gauge twisted metallic pair. Operation in a TCM-ISDN noise environment is for further study. This Recommendation is structured as a delta document to ITU-T Rec. G.992.3.This Recommendation includes procedures to allow provisioning without the need for "splitters", typically installed at the ingress to the customer premises. Additionally, power management procedures and link states are specified to achieve power savings at the central office and customer premises. This Recommendation describes the second generation of splitterless ADSL, based on the first generation ITU-T Rec. G.992.2. This Recommendation may be easily implemented in multi-mode devices that support both G.992.4 and G.992.2 with the following major additions and revisions:</w:t>
            </w:r>
            <w:r w:rsidR="00A11163" w:rsidRPr="004567E2">
              <w:rPr>
                <w:rFonts w:ascii="Times New Roman" w:hAnsi="Times New Roman" w:cs="Times New Roman"/>
                <w:sz w:val="24"/>
                <w:szCs w:val="24"/>
              </w:rPr>
              <w:br/>
              <w:t>• Improved application support for an all digital mode of operation and voice over ADSL operation.</w:t>
            </w:r>
            <w:r w:rsidR="00A11163" w:rsidRPr="004567E2">
              <w:rPr>
                <w:rFonts w:ascii="Times New Roman" w:hAnsi="Times New Roman" w:cs="Times New Roman"/>
                <w:sz w:val="24"/>
                <w:szCs w:val="24"/>
              </w:rPr>
              <w:br/>
            </w:r>
            <w:r w:rsidR="00A11163" w:rsidRPr="004567E2">
              <w:rPr>
                <w:rFonts w:ascii="Times New Roman" w:hAnsi="Times New Roman" w:cs="Times New Roman"/>
                <w:sz w:val="24"/>
                <w:szCs w:val="24"/>
              </w:rPr>
              <w:lastRenderedPageBreak/>
              <w:t>• A new packet TPS-TC function and a STM TPS-TC function in addition to the existing ATM support.</w:t>
            </w:r>
            <w:r w:rsidR="00A11163" w:rsidRPr="004567E2">
              <w:rPr>
                <w:rFonts w:ascii="Times New Roman" w:hAnsi="Times New Roman" w:cs="Times New Roman"/>
                <w:sz w:val="24"/>
                <w:szCs w:val="24"/>
              </w:rPr>
              <w:br/>
              <w:t>• Support for IMA in the ATM TPS-TC.</w:t>
            </w:r>
            <w:r w:rsidR="00A11163" w:rsidRPr="004567E2">
              <w:rPr>
                <w:rFonts w:ascii="Times New Roman" w:hAnsi="Times New Roman" w:cs="Times New Roman"/>
                <w:sz w:val="24"/>
                <w:szCs w:val="24"/>
              </w:rPr>
              <w:br/>
              <w:t>• Improved configuration capability for each TPS-TC with configuration of latency, BER and minimum, maximum and reserve data rate.</w:t>
            </w:r>
            <w:r w:rsidR="00A11163" w:rsidRPr="004567E2">
              <w:rPr>
                <w:rFonts w:ascii="Times New Roman" w:hAnsi="Times New Roman" w:cs="Times New Roman"/>
                <w:sz w:val="24"/>
                <w:szCs w:val="24"/>
              </w:rPr>
              <w:br/>
              <w:t>• New line diagnostic procedures available for both successful and unsuccessful initialization scenarios.</w:t>
            </w:r>
            <w:r w:rsidR="00A11163" w:rsidRPr="004567E2">
              <w:rPr>
                <w:rFonts w:ascii="Times New Roman" w:hAnsi="Times New Roman" w:cs="Times New Roman"/>
                <w:sz w:val="24"/>
                <w:szCs w:val="24"/>
              </w:rPr>
              <w:br/>
              <w:t>• Enhanced on-line reconfiguration capabilities including bit-swaps, dynamic rate repartitioning, and seamless rate adaptation.</w:t>
            </w:r>
            <w:r w:rsidR="00A11163" w:rsidRPr="004567E2">
              <w:rPr>
                <w:rFonts w:ascii="Times New Roman" w:hAnsi="Times New Roman" w:cs="Times New Roman"/>
                <w:sz w:val="24"/>
                <w:szCs w:val="24"/>
              </w:rPr>
              <w:br/>
              <w:t>• A more flexible TPS-TC function including support for up to 4 frame bearers, 4 latency paths, and control parameters allowing enhanced configuration of the overhead channel.</w:t>
            </w:r>
            <w:r w:rsidR="00A11163" w:rsidRPr="004567E2">
              <w:rPr>
                <w:rFonts w:ascii="Times New Roman" w:hAnsi="Times New Roman" w:cs="Times New Roman"/>
                <w:sz w:val="24"/>
                <w:szCs w:val="24"/>
              </w:rPr>
              <w:br/>
              <w:t>• Performance improvements including mandatory support for R = 16, one-bit constellations, and trellis coding.</w:t>
            </w:r>
            <w:r w:rsidR="00A11163" w:rsidRPr="004567E2">
              <w:rPr>
                <w:rFonts w:ascii="Times New Roman" w:hAnsi="Times New Roman" w:cs="Times New Roman"/>
                <w:sz w:val="24"/>
                <w:szCs w:val="24"/>
              </w:rPr>
              <w:br/>
              <w:t>• A more robust initialization procedure that includes splitterless capability features of the G.992.2 fast retrain procedure, CO and CP controlled adaptive signal durations, receiver determined adaptive frequency modulation for data exchange, and an optional adaptive length fast start-up procedure.</w:t>
            </w:r>
            <w:r w:rsidR="00A11163" w:rsidRPr="004567E2">
              <w:rPr>
                <w:rFonts w:ascii="Times New Roman" w:hAnsi="Times New Roman" w:cs="Times New Roman"/>
                <w:sz w:val="24"/>
                <w:szCs w:val="24"/>
              </w:rPr>
              <w:br/>
              <w:t>• Improved RFI and spectrum management tools including transmit power cutback at both ends of the line, spectrum shaping, sub-carrier black-out lists to avoid RFI, and improved sub-carrier ordering to help mitigate the propagation of RFI from sub-carrier to sub-carrier.</w:t>
            </w:r>
            <w:r w:rsidR="00A11163" w:rsidRPr="004567E2">
              <w:rPr>
                <w:rFonts w:ascii="Times New Roman" w:hAnsi="Times New Roman" w:cs="Times New Roman"/>
                <w:sz w:val="24"/>
                <w:szCs w:val="24"/>
              </w:rPr>
              <w:br/>
              <w:t>• Power saving features including mandatory reduction of excess margin under management layer control and a new L2 power management link state with low power features for the central office.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31" w:history="1">
              <w:r w:rsidR="00A11163" w:rsidRPr="004567E2">
                <w:rPr>
                  <w:rStyle w:val="Hyperlink"/>
                  <w:rFonts w:ascii="Times New Roman" w:hAnsi="Times New Roman" w:cs="Times New Roman"/>
                  <w:bCs/>
                  <w:sz w:val="24"/>
                  <w:szCs w:val="24"/>
                </w:rPr>
                <w:t>Recommendation ITU-T G.993.2 (2015) Amd.4 “Very high speed digital subscriber line transceivers 2 (VDSL2) - Amendment 4”</w:t>
              </w:r>
            </w:hyperlink>
            <w:r w:rsidR="00A11163" w:rsidRPr="004567E2">
              <w:rPr>
                <w:rFonts w:ascii="Times New Roman" w:hAnsi="Times New Roman" w:cs="Times New Roman"/>
                <w:bCs/>
                <w:sz w:val="24"/>
                <w:szCs w:val="24"/>
              </w:rPr>
              <w:t xml:space="preserve"> addresses the following:</w:t>
            </w:r>
          </w:p>
          <w:p w:rsidR="00A11163" w:rsidRPr="004567E2" w:rsidRDefault="00A11163" w:rsidP="00A11163">
            <w:pPr>
              <w:pStyle w:val="NormalWeb"/>
              <w:spacing w:before="0" w:beforeAutospacing="0" w:after="0" w:afterAutospacing="0"/>
              <w:rPr>
                <w:bCs/>
                <w:lang w:val="en-GB"/>
              </w:rPr>
            </w:pPr>
            <w:r w:rsidRPr="004567E2">
              <w:rPr>
                <w:bCs/>
                <w:lang w:val="en-GB"/>
              </w:rPr>
              <w:t>-</w:t>
            </w:r>
            <w:r w:rsidRPr="004567E2">
              <w:rPr>
                <w:bCs/>
                <w:lang w:val="en-GB"/>
              </w:rPr>
              <w:tab/>
              <w:t>Addition of a Band plan and Limit PSD masks for profile 35b for the North American region (Annex A).</w:t>
            </w:r>
          </w:p>
          <w:p w:rsidR="00A11163" w:rsidRPr="004567E2" w:rsidRDefault="00A11163" w:rsidP="00A11163">
            <w:pPr>
              <w:pStyle w:val="NormalWeb"/>
              <w:spacing w:before="0" w:beforeAutospacing="0" w:after="0" w:afterAutospacing="0"/>
              <w:rPr>
                <w:rStyle w:val="Hyperlink"/>
                <w:bCs/>
                <w:color w:val="auto"/>
                <w:u w:val="none"/>
                <w:lang w:val="en-GB"/>
              </w:rPr>
            </w:pPr>
            <w:r w:rsidRPr="004567E2">
              <w:rPr>
                <w:bCs/>
                <w:lang w:val="en-GB"/>
              </w:rPr>
              <w:lastRenderedPageBreak/>
              <w:t>-</w:t>
            </w:r>
            <w:r w:rsidRPr="004567E2">
              <w:rPr>
                <w:bCs/>
                <w:lang w:val="en-GB"/>
              </w:rPr>
              <w:tab/>
              <w:t>Addition of operation per the North American region for profile 35b (Annex Q).</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bCs/>
                <w:sz w:val="24"/>
                <w:szCs w:val="24"/>
              </w:rPr>
            </w:pPr>
            <w:hyperlink r:id="rId432" w:history="1">
              <w:r w:rsidR="00A11163" w:rsidRPr="004567E2">
                <w:rPr>
                  <w:rStyle w:val="Hyperlink"/>
                  <w:rFonts w:ascii="Times New Roman" w:hAnsi="Times New Roman" w:cs="Times New Roman"/>
                  <w:bCs/>
                  <w:sz w:val="24"/>
                  <w:szCs w:val="24"/>
                </w:rPr>
                <w:t>Recommendation ITU-T G.993.5 (2015) Amd.2 “Self- FEXT cancellation (vectoring) for use with VDSL2 transceivers - Annex A: Mitigating strong FEXT”</w:t>
              </w:r>
            </w:hyperlink>
            <w:r w:rsidR="00A11163" w:rsidRPr="004567E2">
              <w:rPr>
                <w:rFonts w:ascii="Times New Roman" w:hAnsi="Times New Roman" w:cs="Times New Roman"/>
                <w:b/>
                <w:sz w:val="24"/>
                <w:szCs w:val="24"/>
              </w:rPr>
              <w:t xml:space="preserve"> </w:t>
            </w:r>
            <w:r w:rsidR="00A11163" w:rsidRPr="004567E2">
              <w:rPr>
                <w:rFonts w:ascii="Times New Roman" w:hAnsi="Times New Roman" w:cs="Times New Roman"/>
                <w:bCs/>
                <w:sz w:val="24"/>
                <w:szCs w:val="24"/>
              </w:rPr>
              <w:t>defines a method for mitigating strong FEXT.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bCs/>
                <w:sz w:val="24"/>
                <w:szCs w:val="24"/>
              </w:rPr>
            </w:pPr>
            <w:hyperlink r:id="rId433" w:tooltip="Very high speed digital subscriber line transceivers (VDSL)" w:history="1">
              <w:r w:rsidR="00A11163" w:rsidRPr="004567E2">
                <w:rPr>
                  <w:rStyle w:val="Hyperlink"/>
                  <w:rFonts w:ascii="Times New Roman" w:hAnsi="Times New Roman" w:cs="Times New Roman"/>
                  <w:sz w:val="24"/>
                  <w:szCs w:val="24"/>
                </w:rPr>
                <w:t>Recommendation ITU-T G.993.1 “Very high speed digital subscriber line transceivers (VDSL)”</w:t>
              </w:r>
            </w:hyperlink>
            <w:r w:rsidR="00A11163" w:rsidRPr="004567E2">
              <w:rPr>
                <w:rFonts w:ascii="Times New Roman" w:hAnsi="Times New Roman" w:cs="Times New Roman"/>
                <w:sz w:val="24"/>
                <w:szCs w:val="24"/>
              </w:rPr>
              <w:t xml:space="preserve"> must overcome many types of ingress interference from radio and other transmission techniques that occur in the same frequencies of typical deployment scenarios. Similarly, G.993.1 transmission power transmission levels have been designed to minimize potential egress interference into other transmission systems. As with other Recommendations in the G.99x series, G.993.1 uses G.994.1 to handshake and initiate the transceiver training sequence.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bCs/>
                <w:sz w:val="24"/>
                <w:szCs w:val="24"/>
              </w:rPr>
            </w:pPr>
            <w:hyperlink r:id="rId434" w:tooltip="Very high speed digital subscriber line transceivers 2 (VDSL2)" w:history="1">
              <w:r w:rsidR="00A11163" w:rsidRPr="004567E2">
                <w:rPr>
                  <w:rStyle w:val="Hyperlink"/>
                  <w:rFonts w:ascii="Times New Roman" w:hAnsi="Times New Roman" w:cs="Times New Roman"/>
                  <w:sz w:val="24"/>
                  <w:szCs w:val="24"/>
                </w:rPr>
                <w:t>Recommendation ITU-T G.993.2 “Very high speed digital subscriber line transceivers 2 (VDSL2)”</w:t>
              </w:r>
            </w:hyperlink>
            <w:r w:rsidR="00A11163" w:rsidRPr="004567E2">
              <w:rPr>
                <w:rFonts w:ascii="Times New Roman" w:hAnsi="Times New Roman" w:cs="Times New Roman"/>
                <w:sz w:val="24"/>
                <w:szCs w:val="24"/>
              </w:rPr>
              <w:t xml:space="preserve"> specifies an access technology that exploits the existing infrastructure of copper wires that were originally deployed for POTS services. It can be deployed from central offices, from fibre-fed cabinets located near customer premises, or within buildings. This Recommendation is an enhancement to ITU T G.993.1 that supports asymmetric and symmetric transmission at a bidirectional net data rate up to 200 Mbit/s on twisted pairs using a bandwidth up to 30 MHz.</w:t>
            </w:r>
            <w:r w:rsidR="00A11163" w:rsidRPr="004567E2">
              <w:rPr>
                <w:rFonts w:ascii="Times New Roman" w:hAnsi="Times New Roman" w:cs="Times New Roman"/>
                <w:sz w:val="24"/>
                <w:szCs w:val="24"/>
              </w:rPr>
              <w:br/>
              <w:t>This version of this Recommendation integrates all the previous amendments and corrigenda with the 2011 version of Recommendation ITU-T G.993.2.</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bCs/>
                <w:sz w:val="24"/>
                <w:szCs w:val="24"/>
              </w:rPr>
            </w:pPr>
            <w:hyperlink r:id="rId435" w:tooltip="Self-FEXT cancellation (vectoring) for use with VDSL2 transceivers" w:history="1">
              <w:r w:rsidR="00A11163" w:rsidRPr="004567E2">
                <w:rPr>
                  <w:rStyle w:val="Hyperlink"/>
                  <w:rFonts w:ascii="Times New Roman" w:hAnsi="Times New Roman" w:cs="Times New Roman"/>
                  <w:sz w:val="24"/>
                  <w:szCs w:val="24"/>
                </w:rPr>
                <w:t>Recommendation ITU-T G.993.5 “Self-FEXT cancellation (vectoring) for use with VDSL2 transceivers”</w:t>
              </w:r>
            </w:hyperlink>
            <w:r w:rsidR="00A11163" w:rsidRPr="004567E2">
              <w:rPr>
                <w:rFonts w:ascii="Times New Roman" w:hAnsi="Times New Roman" w:cs="Times New Roman"/>
                <w:sz w:val="24"/>
                <w:szCs w:val="24"/>
              </w:rPr>
              <w:t>: Vectoring is a transmission method that employs the coordination of line signals for reduction of crosstalk levels and improvement of performance. The degree of improvement depends on the channel characteristics. Vectoring may be for a single user or for multiple users' benefit.</w:t>
            </w:r>
            <w:r w:rsidR="00A11163" w:rsidRPr="004567E2">
              <w:rPr>
                <w:rFonts w:ascii="Times New Roman" w:hAnsi="Times New Roman" w:cs="Times New Roman"/>
                <w:sz w:val="24"/>
                <w:szCs w:val="24"/>
              </w:rPr>
              <w:br/>
              <w:t xml:space="preserve">Recommendation ITU-T G.993.5 is specifically limited to the self-far-end crosstalk (self-FEXT) cancellation in the downstream and upstream directions. It defines a single method of self-FEXT cancellation, in which FEXT generated by a group of </w:t>
            </w:r>
            <w:r w:rsidR="00A11163" w:rsidRPr="004567E2">
              <w:rPr>
                <w:rFonts w:ascii="Times New Roman" w:hAnsi="Times New Roman" w:cs="Times New Roman"/>
                <w:sz w:val="24"/>
                <w:szCs w:val="24"/>
              </w:rPr>
              <w:lastRenderedPageBreak/>
              <w:t>near-end transceivers and interfering with the far-end transceivers of that same group is cancelled. This cancellation takes place between very high-bit-rate digital subscriber line 2 (VDSL2) transceivers, not necessarily of the same profile. This Recommendation is intended to be implemented in conjunction with Recommendation ITU</w:t>
            </w:r>
            <w:r w:rsidR="00A11163" w:rsidRPr="004567E2">
              <w:rPr>
                <w:rFonts w:ascii="Times New Roman" w:hAnsi="Times New Roman" w:cs="Times New Roman"/>
                <w:sz w:val="24"/>
                <w:szCs w:val="24"/>
              </w:rPr>
              <w:noBreakHyphen/>
              <w:t>T G.993.2.</w:t>
            </w:r>
            <w:r w:rsidR="00A11163" w:rsidRPr="004567E2">
              <w:rPr>
                <w:rFonts w:ascii="Times New Roman" w:hAnsi="Times New Roman" w:cs="Times New Roman"/>
                <w:sz w:val="24"/>
                <w:szCs w:val="24"/>
              </w:rPr>
              <w:br/>
              <w:t>This version of this Recommendation integrates all of the previous amendments and corrigenda with the 2010 version 1.0 of Recommendation ITU-T G.993.5.</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bCs/>
                <w:sz w:val="24"/>
                <w:szCs w:val="24"/>
              </w:rPr>
            </w:pPr>
            <w:hyperlink r:id="rId436" w:history="1">
              <w:r w:rsidR="00A11163" w:rsidRPr="004567E2">
                <w:rPr>
                  <w:rStyle w:val="Hyperlink"/>
                  <w:rFonts w:ascii="Times New Roman" w:hAnsi="Times New Roman" w:cs="Times New Roman"/>
                  <w:sz w:val="24"/>
                  <w:szCs w:val="24"/>
                </w:rPr>
                <w:t>Recommendation ITU-T G.993.5 (2015) Amd.2 “Self- FEXT cancellation (vectoring) for use with VDSL2 transceivers - Annex A: Mitigating strong FEXT”</w:t>
              </w:r>
            </w:hyperlink>
            <w:r w:rsidR="00A11163" w:rsidRPr="004567E2">
              <w:rPr>
                <w:rFonts w:ascii="Times New Roman" w:hAnsi="Times New Roman" w:cs="Times New Roman"/>
                <w:sz w:val="24"/>
                <w:szCs w:val="24"/>
              </w:rPr>
              <w:t xml:space="preserve"> (under approval) defines a method for mitigating strong FEXT.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bCs/>
                <w:sz w:val="24"/>
                <w:szCs w:val="24"/>
              </w:rPr>
            </w:pPr>
            <w:hyperlink r:id="rId437" w:tooltip="Handshake procedures for digital subscriber line transceivers" w:history="1">
              <w:r w:rsidR="00A11163" w:rsidRPr="004567E2">
                <w:rPr>
                  <w:rStyle w:val="Hyperlink"/>
                  <w:rFonts w:ascii="Times New Roman" w:hAnsi="Times New Roman" w:cs="Times New Roman"/>
                  <w:sz w:val="24"/>
                  <w:szCs w:val="24"/>
                </w:rPr>
                <w:t>Recommendation ITU-T G.994.1 “Handshake procedures for digital subscriber line transceivers”</w:t>
              </w:r>
            </w:hyperlink>
            <w:r w:rsidR="00A11163" w:rsidRPr="004567E2">
              <w:rPr>
                <w:rFonts w:ascii="Times New Roman" w:hAnsi="Times New Roman" w:cs="Times New Roman"/>
                <w:sz w:val="24"/>
                <w:szCs w:val="24"/>
              </w:rPr>
              <w:t xml:space="preserve"> provides a flexible mechanism for digital subscriber line (DSL) transceivers to exchange capabilities and to select a common mode of operation. It includes parameters relating to service and application requirements as well as parameters pertinent to various DSL transceivers. This Recommendation is currently an integral part of the start-up procedure for Recommendations ITU T G.991.2, ITU-T G.992.1, ITU-T G.992.2, ITU-T G.992.3, ITU-T G.992.4, ITU-T G.992.5, ITU-T G.993.1 and ITU-T G.993.2. It is anticipated that future DSL Recommendations will also be able to make use of this Recommendation. Provisions are also included for exchanging non-standard information.</w:t>
            </w:r>
            <w:r w:rsidR="00A11163" w:rsidRPr="004567E2">
              <w:rPr>
                <w:rFonts w:ascii="Times New Roman" w:hAnsi="Times New Roman" w:cs="Times New Roman"/>
                <w:sz w:val="24"/>
                <w:szCs w:val="24"/>
              </w:rPr>
              <w:br/>
              <w:t>This revision integrates all approved amendments and corrigendum into the latest revision of Recommendation ITU-T G.994.1 (version 3). It also:</w:t>
            </w:r>
            <w:r w:rsidR="00A11163" w:rsidRPr="004567E2">
              <w:rPr>
                <w:rFonts w:ascii="Times New Roman" w:hAnsi="Times New Roman" w:cs="Times New Roman"/>
                <w:sz w:val="24"/>
                <w:szCs w:val="24"/>
              </w:rPr>
              <w:br/>
              <w:t>– fixes the allocation of the codepoint "Support of downstream virtual noise in diagnostic mode"</w:t>
            </w:r>
            <w:r w:rsidR="00A11163" w:rsidRPr="004567E2">
              <w:rPr>
                <w:rFonts w:ascii="Times New Roman" w:hAnsi="Times New Roman" w:cs="Times New Roman"/>
                <w:sz w:val="24"/>
                <w:szCs w:val="24"/>
              </w:rPr>
              <w:br/>
              <w:t>– fixes the allocation of the codepoint "Full ITU-T G.993.5-friendly ITU-T G.993.2 operation"</w:t>
            </w:r>
            <w:r w:rsidR="00A11163" w:rsidRPr="004567E2">
              <w:rPr>
                <w:rFonts w:ascii="Times New Roman" w:hAnsi="Times New Roman" w:cs="Times New Roman"/>
                <w:sz w:val="24"/>
                <w:szCs w:val="24"/>
              </w:rPr>
              <w:br/>
              <w:t>– removes the codepoints for O-P-VECTOR-1-1 duration.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9.c</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bCs/>
                <w:sz w:val="24"/>
                <w:szCs w:val="24"/>
              </w:rPr>
            </w:pPr>
            <w:hyperlink r:id="rId438" w:history="1">
              <w:r w:rsidR="00A11163" w:rsidRPr="004567E2">
                <w:rPr>
                  <w:rStyle w:val="Hyperlink"/>
                  <w:rFonts w:ascii="Times New Roman" w:hAnsi="Times New Roman" w:cs="Times New Roman"/>
                  <w:sz w:val="24"/>
                  <w:szCs w:val="24"/>
                </w:rPr>
                <w:t>Recommendation ITU-T G.994.1 (2017) Amd.2 “Handshake procedures for digital subscriber line transceivers: Amendment 2”</w:t>
              </w:r>
            </w:hyperlink>
            <w:r w:rsidR="00A11163" w:rsidRPr="004567E2">
              <w:rPr>
                <w:rFonts w:ascii="Times New Roman" w:hAnsi="Times New Roman" w:cs="Times New Roman"/>
                <w:sz w:val="24"/>
                <w:szCs w:val="24"/>
              </w:rPr>
              <w:t xml:space="preserve"> includes:</w:t>
            </w:r>
          </w:p>
          <w:p w:rsidR="00A11163" w:rsidRPr="004567E2" w:rsidRDefault="00A11163" w:rsidP="00A11163">
            <w:pPr>
              <w:pStyle w:val="ListParagraph"/>
              <w:ind w:left="0"/>
              <w:contextualSpacing w:val="0"/>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lastRenderedPageBreak/>
              <w:t>- Add codepoint for the support of G.9701 Annex D.</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9.c</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39" w:history="1">
              <w:r w:rsidR="00A11163" w:rsidRPr="004567E2">
                <w:rPr>
                  <w:rStyle w:val="Hyperlink"/>
                  <w:rFonts w:ascii="Times New Roman" w:hAnsi="Times New Roman" w:cs="Times New Roman"/>
                  <w:sz w:val="24"/>
                  <w:szCs w:val="24"/>
                </w:rPr>
                <w:t>Recommendation ITU-T G.994.1 (2012) Amd.8 “Handshake procedures for digital subscriber line transceivers: Amendment 8”</w:t>
              </w:r>
            </w:hyperlink>
            <w:r w:rsidR="00A11163" w:rsidRPr="004567E2">
              <w:rPr>
                <w:rFonts w:ascii="Times New Roman" w:hAnsi="Times New Roman" w:cs="Times New Roman"/>
                <w:sz w:val="24"/>
                <w:szCs w:val="24"/>
              </w:rPr>
              <w:t xml:space="preserve"> includes:</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 New handshake carrier set (F43) for the support of G.9701 over coaxial cable.</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 Add codepoints for the support of Annex X of [ITU-T G.9701]</w:t>
            </w:r>
          </w:p>
          <w:p w:rsidR="00A11163" w:rsidRPr="004567E2" w:rsidRDefault="00A11163" w:rsidP="00A11163">
            <w:pPr>
              <w:rPr>
                <w:rStyle w:val="Hyperlink"/>
                <w:rFonts w:ascii="Times New Roman" w:hAnsi="Times New Roman" w:cs="Times New Roman"/>
                <w:i/>
                <w:color w:val="auto"/>
                <w:sz w:val="24"/>
                <w:szCs w:val="24"/>
                <w:u w:val="none"/>
              </w:rPr>
            </w:pPr>
            <w:r w:rsidRPr="004567E2">
              <w:rPr>
                <w:rFonts w:ascii="Times New Roman" w:hAnsi="Times New Roman" w:cs="Times New Roman"/>
                <w:sz w:val="24"/>
                <w:szCs w:val="24"/>
              </w:rPr>
              <w:t>- Add codepoints for profiles 106c and 212c of [ITU-T G.9701]</w:t>
            </w:r>
            <w:r w:rsidRPr="004567E2">
              <w:rPr>
                <w:rFonts w:ascii="Times New Roman" w:hAnsi="Times New Roman" w:cs="Times New Roman"/>
                <w:iCs/>
                <w:sz w:val="24"/>
                <w:szCs w:val="24"/>
              </w:rPr>
              <w: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9.c</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440" w:history="1">
              <w:r w:rsidR="00A11163" w:rsidRPr="004567E2">
                <w:rPr>
                  <w:rStyle w:val="Hyperlink"/>
                  <w:rFonts w:ascii="Times New Roman" w:hAnsi="Times New Roman" w:cs="Times New Roman"/>
                  <w:sz w:val="24"/>
                  <w:szCs w:val="24"/>
                </w:rPr>
                <w:t>Recommendation ITU-T G.994.1 (2012) Amd.9 “Handshake procedures for digital subscriber line transceivers”</w:t>
              </w:r>
            </w:hyperlink>
            <w:r w:rsidR="00A11163" w:rsidRPr="004567E2">
              <w:rPr>
                <w:rStyle w:val="Hyperlink"/>
                <w:rFonts w:ascii="Times New Roman" w:hAnsi="Times New Roman" w:cs="Times New Roman"/>
                <w:sz w:val="24"/>
                <w:szCs w:val="24"/>
              </w:rPr>
              <w:t xml:space="preserve"> includes:</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 Codepoint for the support of G.993.5 Annex A (Mitigating Strong FEXT)</w:t>
            </w:r>
          </w:p>
          <w:p w:rsidR="00A11163" w:rsidRPr="004567E2" w:rsidRDefault="00A11163" w:rsidP="00A11163">
            <w:pPr>
              <w:widowControl w:val="0"/>
              <w:rPr>
                <w:rStyle w:val="Hyperlink"/>
                <w:rFonts w:ascii="Times New Roman" w:hAnsi="Times New Roman" w:cs="Times New Roman"/>
                <w:sz w:val="24"/>
                <w:szCs w:val="24"/>
              </w:rPr>
            </w:pPr>
            <w:r w:rsidRPr="004567E2">
              <w:rPr>
                <w:rFonts w:ascii="Times New Roman" w:hAnsi="Times New Roman" w:cs="Times New Roman"/>
                <w:sz w:val="24"/>
                <w:szCs w:val="24"/>
              </w:rPr>
              <w:t>- Codepoints for the support of G.993.5 Annex B (Vectored Long Reach VDSL) and G.993.2 Annex D (Unvectored Long Reach VDSL).</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9.c</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41" w:history="1">
              <w:r w:rsidR="00A11163" w:rsidRPr="004567E2">
                <w:rPr>
                  <w:rStyle w:val="Hyperlink"/>
                  <w:rFonts w:ascii="Times New Roman" w:hAnsi="Times New Roman" w:cs="Times New Roman"/>
                  <w:sz w:val="24"/>
                  <w:szCs w:val="24"/>
                </w:rPr>
                <w:t>Recommendation ITU-T G.995.2 “Enhanced common mode limits and measurement methods for customer premises equipment operating on copper pairs”</w:t>
              </w:r>
            </w:hyperlink>
            <w:r w:rsidR="00A11163" w:rsidRPr="004567E2">
              <w:rPr>
                <w:rFonts w:ascii="Times New Roman" w:hAnsi="Times New Roman" w:cs="Times New Roman"/>
                <w:sz w:val="24"/>
                <w:szCs w:val="24"/>
              </w:rPr>
              <w:t xml:space="preserve"> specifies common mode (CM) voltage limits up to 30 MHz on the digital subscriber line (DSL) that provide additional radio protection relative to what is currently specified in CISPR22.</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42" w:tooltip="Test procedures for digital subscriber line (DSL) transceivers" w:history="1">
              <w:r w:rsidR="00A11163" w:rsidRPr="004567E2">
                <w:rPr>
                  <w:rStyle w:val="Hyperlink"/>
                  <w:rFonts w:ascii="Times New Roman" w:hAnsi="Times New Roman" w:cs="Times New Roman"/>
                  <w:sz w:val="24"/>
                  <w:szCs w:val="24"/>
                </w:rPr>
                <w:t>Recommendation ITU-T G.996.1 “Test procedures for digital subscriber line (DSL) transceivers”</w:t>
              </w:r>
            </w:hyperlink>
            <w:r w:rsidR="00A11163" w:rsidRPr="004567E2">
              <w:rPr>
                <w:rFonts w:ascii="Times New Roman" w:hAnsi="Times New Roman" w:cs="Times New Roman"/>
                <w:sz w:val="24"/>
                <w:szCs w:val="24"/>
              </w:rPr>
              <w:t xml:space="preserve"> describes the testing procedures for ITU-T Digital Subscriber Line (DSL) Recommendations. The testing procedures described herein include methods for testing DSL transceivers in the presence of crosstalk from other services, Radio Frequency ingress, impulse noise and POTS signalling. Test loops and in-home wiring models are specified for different regions of the world for use during DSL performance testing. Other DSL Recommendations reference this Recommendation for testing procedures and configurations. This Recommendation does not specify performance requirements for these other Recommendations; it only specifies the procedures for measuring the performance requirements for a particular Recommendation.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43" w:tooltip="Single-ended line testing for digital subscriber lines (DSL)" w:history="1">
              <w:r w:rsidR="00A11163" w:rsidRPr="004567E2">
                <w:rPr>
                  <w:rStyle w:val="Hyperlink"/>
                  <w:rFonts w:ascii="Times New Roman" w:hAnsi="Times New Roman" w:cs="Times New Roman"/>
                  <w:sz w:val="24"/>
                  <w:szCs w:val="24"/>
                </w:rPr>
                <w:t>Recommendation ITU-T G.996.2 “Single-ended line testing for digital subscriber lines (DSL)”</w:t>
              </w:r>
            </w:hyperlink>
            <w:r w:rsidR="00A11163" w:rsidRPr="004567E2">
              <w:rPr>
                <w:rFonts w:ascii="Times New Roman" w:hAnsi="Times New Roman" w:cs="Times New Roman"/>
                <w:sz w:val="24"/>
                <w:szCs w:val="24"/>
              </w:rPr>
              <w:t xml:space="preserve"> specifies line testing for xDSL transceivers in the form of single-</w:t>
            </w:r>
            <w:r w:rsidR="00A11163" w:rsidRPr="004567E2">
              <w:rPr>
                <w:rFonts w:ascii="Times New Roman" w:hAnsi="Times New Roman" w:cs="Times New Roman"/>
                <w:sz w:val="24"/>
                <w:szCs w:val="24"/>
              </w:rPr>
              <w:lastRenderedPageBreak/>
              <w:t>ended line testing (SELT), dual-ended line testing (DELT) and metallic line testing (MELT).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44" w:history="1">
              <w:r w:rsidR="00A11163" w:rsidRPr="004567E2">
                <w:rPr>
                  <w:rStyle w:val="Hyperlink"/>
                  <w:rFonts w:ascii="Times New Roman" w:hAnsi="Times New Roman" w:cs="Times New Roman"/>
                  <w:sz w:val="24"/>
                  <w:szCs w:val="24"/>
                </w:rPr>
                <w:t>Recommendation ITU-T G.996.2 (2009) Amd.5 “Single-ended line testing for digital subscriber lines (DSL) - Amendment 5”</w:t>
              </w:r>
            </w:hyperlink>
            <w:r w:rsidR="00A11163" w:rsidRPr="004567E2">
              <w:rPr>
                <w:rFonts w:ascii="Times New Roman" w:hAnsi="Times New Roman" w:cs="Times New Roman"/>
                <w:sz w:val="24"/>
                <w:szCs w:val="24"/>
              </w:rPr>
              <w:t xml:space="preserve"> contains the draft new amendment to G.996.2 on SELT in G.fast environment.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45" w:history="1">
              <w:r w:rsidR="00A11163" w:rsidRPr="004567E2">
                <w:rPr>
                  <w:rStyle w:val="Hyperlink"/>
                  <w:rFonts w:ascii="Times New Roman" w:hAnsi="Times New Roman" w:cs="Times New Roman"/>
                  <w:sz w:val="24"/>
                  <w:szCs w:val="24"/>
                </w:rPr>
                <w:t>Recommendation ITU-T G.996.2 (2009) Amd.6 “Single-ended line testing for digital subscriber lines (DSL): Amendment 6”</w:t>
              </w:r>
            </w:hyperlink>
            <w:r w:rsidR="00A11163" w:rsidRPr="004567E2">
              <w:rPr>
                <w:rFonts w:ascii="Times New Roman" w:hAnsi="Times New Roman" w:cs="Times New Roman"/>
                <w:sz w:val="24"/>
                <w:szCs w:val="24"/>
              </w:rPr>
              <w:t xml:space="preserve"> updates Annexes A, E, and F, defining the following new functionalities:</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1)</w:t>
            </w:r>
            <w:r w:rsidRPr="004567E2">
              <w:rPr>
                <w:rFonts w:ascii="Times New Roman" w:hAnsi="Times New Roman" w:cs="Times New Roman"/>
                <w:sz w:val="24"/>
                <w:szCs w:val="24"/>
              </w:rPr>
              <w:tab/>
              <w:t>SELT PMD management</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2)</w:t>
            </w:r>
            <w:r w:rsidRPr="004567E2">
              <w:rPr>
                <w:rFonts w:ascii="Times New Roman" w:hAnsi="Times New Roman" w:cs="Times New Roman"/>
                <w:sz w:val="24"/>
                <w:szCs w:val="24"/>
              </w:rPr>
              <w:tab/>
              <w:t>MELT PMD management</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3)</w:t>
            </w:r>
            <w:r w:rsidRPr="004567E2">
              <w:rPr>
                <w:rFonts w:ascii="Times New Roman" w:hAnsi="Times New Roman" w:cs="Times New Roman"/>
                <w:sz w:val="24"/>
                <w:szCs w:val="24"/>
              </w:rPr>
              <w:tab/>
              <w:t>Report of negative capacitance values</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4)</w:t>
            </w:r>
            <w:r w:rsidRPr="004567E2">
              <w:rPr>
                <w:rFonts w:ascii="Times New Roman" w:hAnsi="Times New Roman" w:cs="Times New Roman"/>
                <w:sz w:val="24"/>
                <w:szCs w:val="24"/>
              </w:rPr>
              <w:tab/>
              <w:t>Pair identification tone with timeout</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5)</w:t>
            </w:r>
            <w:r w:rsidRPr="004567E2">
              <w:rPr>
                <w:rFonts w:ascii="Times New Roman" w:hAnsi="Times New Roman" w:cs="Times New Roman"/>
                <w:sz w:val="24"/>
                <w:szCs w:val="24"/>
              </w:rPr>
              <w:tab/>
              <w:t>Report of reliability indicator for measurements</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6)</w:t>
            </w:r>
            <w:r w:rsidRPr="004567E2">
              <w:rPr>
                <w:rFonts w:ascii="Times New Roman" w:hAnsi="Times New Roman" w:cs="Times New Roman"/>
                <w:sz w:val="24"/>
                <w:szCs w:val="24"/>
              </w:rPr>
              <w:tab/>
              <w:t>Report of time stamp</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7)</w:t>
            </w:r>
            <w:r w:rsidRPr="004567E2">
              <w:rPr>
                <w:rFonts w:ascii="Times New Roman" w:hAnsi="Times New Roman" w:cs="Times New Roman"/>
                <w:sz w:val="24"/>
                <w:szCs w:val="24"/>
              </w:rPr>
              <w:tab/>
              <w:t>Parallelism and polarity of far-end signature detection</w:t>
            </w:r>
          </w:p>
          <w:p w:rsidR="00A11163" w:rsidRPr="004567E2" w:rsidRDefault="00A11163" w:rsidP="00A11163">
            <w:pPr>
              <w:pStyle w:val="ListParagraph"/>
              <w:ind w:left="0"/>
              <w:contextualSpacing w:val="0"/>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8)</w:t>
            </w:r>
            <w:r w:rsidRPr="004567E2">
              <w:rPr>
                <w:rFonts w:ascii="Times New Roman" w:hAnsi="Times New Roman" w:cs="Times New Roman"/>
                <w:sz w:val="24"/>
                <w:szCs w:val="24"/>
              </w:rPr>
              <w:tab/>
              <w:t>CPE identification capacitive.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446" w:tooltip="Physical layer management for digital subscriber line transceivers" w:history="1">
              <w:r w:rsidR="00A11163" w:rsidRPr="004567E2">
                <w:rPr>
                  <w:rStyle w:val="Hyperlink"/>
                  <w:rFonts w:ascii="Times New Roman" w:hAnsi="Times New Roman" w:cs="Times New Roman"/>
                  <w:sz w:val="24"/>
                  <w:szCs w:val="24"/>
                </w:rPr>
                <w:t>Recommendation ITU-T G.997.1 “Physical layer management for digital subscriber line transceivers”</w:t>
              </w:r>
            </w:hyperlink>
            <w:r w:rsidR="00A11163" w:rsidRPr="004567E2">
              <w:rPr>
                <w:rFonts w:ascii="Times New Roman" w:hAnsi="Times New Roman" w:cs="Times New Roman"/>
                <w:sz w:val="24"/>
                <w:szCs w:val="24"/>
              </w:rPr>
              <w:t xml:space="preserve"> specifies the physical layer management for asymmetric digital subscriber line (ADSL) and very high speed digital subscriber line 2 (VDSL2) transmission systems. It specifies means of communication on a transport transmission channel defined in the physical layer Recommendations ITU-T G.992.1, ITU-T G.992.2, ITU-T G.992.3, ITU-T G.992.4, ITU T G.992.5 and ITU-T G.993.2. It specifies network elements (NE) content and syntax for configuration, fault and performance management.</w:t>
            </w:r>
            <w:r w:rsidR="00A11163" w:rsidRPr="004567E2">
              <w:rPr>
                <w:rFonts w:ascii="Times New Roman" w:hAnsi="Times New Roman" w:cs="Times New Roman"/>
                <w:sz w:val="24"/>
                <w:szCs w:val="24"/>
              </w:rPr>
              <w:br/>
              <w:t>The revision of this Recommendation includes the management information base (MIB) elements for the physical layer management of Recommendation ITU T G.993.2 and additional MIB elements for the physical layer management of Recommendations ITU T G.992.3 and ITU-T G.992.5.</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47" w:history="1">
              <w:r w:rsidR="00A11163" w:rsidRPr="004567E2">
                <w:rPr>
                  <w:rStyle w:val="Hyperlink"/>
                  <w:rFonts w:ascii="Times New Roman" w:hAnsi="Times New Roman" w:cs="Times New Roman"/>
                  <w:bCs/>
                  <w:sz w:val="24"/>
                  <w:szCs w:val="24"/>
                </w:rPr>
                <w:t xml:space="preserve">Recommendation ITU-T G.997.1 (2016) Amd.2 “Physical layer management for </w:t>
              </w:r>
              <w:r w:rsidR="00A11163" w:rsidRPr="004567E2">
                <w:rPr>
                  <w:rStyle w:val="Hyperlink"/>
                  <w:rFonts w:ascii="Times New Roman" w:hAnsi="Times New Roman" w:cs="Times New Roman"/>
                  <w:bCs/>
                  <w:sz w:val="24"/>
                  <w:szCs w:val="24"/>
                </w:rPr>
                <w:lastRenderedPageBreak/>
                <w:t>digital subscriber line transceivers - Amendment 2”</w:t>
              </w:r>
            </w:hyperlink>
            <w:r w:rsidR="00A11163" w:rsidRPr="004567E2">
              <w:rPr>
                <w:rFonts w:ascii="Times New Roman" w:hAnsi="Times New Roman" w:cs="Times New Roman"/>
                <w:bCs/>
                <w:sz w:val="24"/>
                <w:szCs w:val="24"/>
              </w:rPr>
              <w:t xml:space="preserve"> includes:</w:t>
            </w:r>
          </w:p>
          <w:p w:rsidR="00A11163" w:rsidRPr="004567E2" w:rsidRDefault="00A11163" w:rsidP="00A11163">
            <w:pPr>
              <w:pStyle w:val="NormalWeb"/>
              <w:spacing w:before="0" w:beforeAutospacing="0" w:after="0" w:afterAutospacing="0"/>
              <w:rPr>
                <w:bCs/>
                <w:lang w:val="en-GB"/>
              </w:rPr>
            </w:pPr>
            <w:r w:rsidRPr="004567E2">
              <w:rPr>
                <w:bCs/>
                <w:lang w:val="en-GB"/>
              </w:rPr>
              <w:t>- Addition of loop diagnostic status parameters</w:t>
            </w:r>
          </w:p>
          <w:p w:rsidR="00A11163" w:rsidRPr="004567E2" w:rsidRDefault="00A11163" w:rsidP="00A11163">
            <w:pPr>
              <w:pStyle w:val="NormalWeb"/>
              <w:spacing w:before="0" w:beforeAutospacing="0" w:after="0" w:afterAutospacing="0"/>
              <w:rPr>
                <w:bCs/>
                <w:lang w:val="en-GB"/>
              </w:rPr>
            </w:pPr>
            <w:r w:rsidRPr="004567E2">
              <w:rPr>
                <w:bCs/>
                <w:lang w:val="en-GB"/>
              </w:rPr>
              <w:t>- Freezing of performance and monitoring counters when line is forced in L3 state</w:t>
            </w:r>
          </w:p>
          <w:p w:rsidR="00A11163" w:rsidRPr="004567E2" w:rsidRDefault="00A11163" w:rsidP="00A11163">
            <w:pPr>
              <w:pStyle w:val="NormalWeb"/>
              <w:spacing w:before="0" w:beforeAutospacing="0" w:after="0" w:afterAutospacing="0"/>
              <w:rPr>
                <w:rStyle w:val="Hyperlink"/>
                <w:bCs/>
                <w:color w:val="auto"/>
                <w:u w:val="none"/>
                <w:lang w:val="en-GB"/>
              </w:rPr>
            </w:pPr>
            <w:r w:rsidRPr="004567E2">
              <w:rPr>
                <w:bCs/>
                <w:lang w:val="en-GB"/>
              </w:rPr>
              <w:t>- Add support for Band plan and Limit PSD masks of profile 35b for the North American region (Annex A).</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bCs/>
                <w:sz w:val="24"/>
                <w:szCs w:val="24"/>
              </w:rPr>
            </w:pPr>
            <w:hyperlink r:id="rId448" w:history="1">
              <w:r w:rsidR="00A11163" w:rsidRPr="004567E2">
                <w:rPr>
                  <w:rStyle w:val="Hyperlink"/>
                  <w:rFonts w:ascii="Times New Roman" w:hAnsi="Times New Roman" w:cs="Times New Roman"/>
                  <w:bCs/>
                  <w:sz w:val="24"/>
                  <w:szCs w:val="24"/>
                </w:rPr>
                <w:t>Recommendation ITU-T G.997.1 (2012) Amd.7 “Physical layer management for digital subscriber line transceivers”</w:t>
              </w:r>
            </w:hyperlink>
            <w:r w:rsidR="00A11163" w:rsidRPr="004567E2">
              <w:rPr>
                <w:rFonts w:ascii="Times New Roman" w:hAnsi="Times New Roman" w:cs="Times New Roman"/>
                <w:bCs/>
                <w:sz w:val="24"/>
                <w:szCs w:val="24"/>
              </w:rPr>
              <w:t xml:space="preserve"> includes:</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 Management parameters for the support of G.993.5 Annex B (Vectored Long Reach VDSL) and G.993.2 Annex D (Unvectored Long Reach VDSL)</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 Management parameters for the support of G.993.5 Annex A (Mitigating strong FEXT)</w:t>
            </w:r>
          </w:p>
          <w:p w:rsidR="00A11163" w:rsidRPr="004567E2" w:rsidRDefault="00A11163" w:rsidP="00A11163">
            <w:pPr>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 Add missing parameter INM_INPEQ_FORMAT for the support of INM in G.993.2.</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9.c</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449" w:tooltip="Physical layer management for G.fast transceivers" w:history="1">
              <w:r w:rsidR="00A11163" w:rsidRPr="004567E2">
                <w:rPr>
                  <w:rStyle w:val="Hyperlink"/>
                  <w:rFonts w:ascii="Times New Roman" w:hAnsi="Times New Roman" w:cs="Times New Roman"/>
                  <w:sz w:val="24"/>
                  <w:szCs w:val="24"/>
                </w:rPr>
                <w:t>Recommendation ITU-T G.997.2 “Physical layer management for G.fast transceivers”</w:t>
              </w:r>
            </w:hyperlink>
            <w:r w:rsidR="00A11163" w:rsidRPr="004567E2">
              <w:rPr>
                <w:rFonts w:ascii="Times New Roman" w:hAnsi="Times New Roman" w:cs="Times New Roman"/>
                <w:sz w:val="24"/>
                <w:szCs w:val="24"/>
              </w:rPr>
              <w:t xml:space="preserve"> specifies the physical layer management for fast access to subscriber terminals (G.fast) transmission systems. It specifies managed objects for configuration, fault, status, inventory and performance management.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9.c</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50" w:history="1">
              <w:r w:rsidR="00A11163" w:rsidRPr="004567E2">
                <w:rPr>
                  <w:rStyle w:val="Hyperlink"/>
                  <w:rFonts w:ascii="Times New Roman" w:hAnsi="Times New Roman" w:cs="Times New Roman"/>
                  <w:sz w:val="24"/>
                  <w:szCs w:val="24"/>
                </w:rPr>
                <w:t>Recommendation TU-T G.997.2 (2015) Amd.3 “Physical layer management for G.fast transceivers: Amendment 3”</w:t>
              </w:r>
            </w:hyperlink>
            <w:r w:rsidR="00A11163" w:rsidRPr="004567E2">
              <w:rPr>
                <w:rFonts w:ascii="Times New Roman" w:hAnsi="Times New Roman" w:cs="Times New Roman"/>
                <w:sz w:val="24"/>
                <w:szCs w:val="24"/>
              </w:rPr>
              <w:t xml:space="preserve"> includes:</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 A new annex for the management of Remote Power Feeding (RPF).</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 A new annex for the management of NT software upgrades.</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 A new annex for the management of Annex X and Annex T of [ITU-T G.9701].</w:t>
            </w:r>
          </w:p>
          <w:p w:rsidR="00A11163" w:rsidRPr="004567E2" w:rsidRDefault="00A11163" w:rsidP="00A11163">
            <w:pPr>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 Update managed objects to support new profiles 212a, 106c and 212c.</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9.c</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b/>
                <w:sz w:val="24"/>
                <w:szCs w:val="24"/>
              </w:rPr>
            </w:pPr>
            <w:hyperlink r:id="rId451" w:history="1">
              <w:r w:rsidR="00A11163" w:rsidRPr="004567E2">
                <w:rPr>
                  <w:rStyle w:val="Hyperlink"/>
                  <w:rFonts w:ascii="Times New Roman" w:hAnsi="Times New Roman" w:cs="Times New Roman"/>
                  <w:bCs/>
                  <w:sz w:val="24"/>
                  <w:szCs w:val="24"/>
                </w:rPr>
                <w:t>Recommendation ITU-T G.997.2 (2015) Amd.4 “Physical layer management for G.fast transceivers: Amendment 4”</w:t>
              </w:r>
            </w:hyperlink>
            <w:r w:rsidR="00A11163" w:rsidRPr="004567E2">
              <w:rPr>
                <w:rFonts w:ascii="Times New Roman" w:hAnsi="Times New Roman" w:cs="Times New Roman"/>
                <w:b/>
                <w:sz w:val="24"/>
                <w:szCs w:val="24"/>
              </w:rPr>
              <w:t xml:space="preserve"> </w:t>
            </w:r>
            <w:r w:rsidR="00A11163" w:rsidRPr="004567E2">
              <w:rPr>
                <w:rFonts w:ascii="Times New Roman" w:hAnsi="Times New Roman" w:cs="Times New Roman"/>
                <w:bCs/>
                <w:sz w:val="24"/>
                <w:szCs w:val="24"/>
              </w:rPr>
              <w:t>includes:</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 Update to the Annex A: Physical layer management for Reverse Power Feeding (RPF) of Remote Access Equipment</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 Additional managed objects for support of impulse noise monitoring of G.9701.</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 Additional managed objects for support of ANDEFTR of G.9701</w:t>
            </w:r>
          </w:p>
          <w:p w:rsidR="00A11163" w:rsidRPr="004567E2" w:rsidRDefault="00A11163" w:rsidP="00A11163">
            <w:pPr>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lastRenderedPageBreak/>
              <w:t>- Additional managed objects for support of RMCR of G.9701.</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9.c</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52" w:history="1">
              <w:r w:rsidR="00A11163" w:rsidRPr="004567E2">
                <w:rPr>
                  <w:rStyle w:val="Hyperlink"/>
                  <w:rFonts w:ascii="Times New Roman" w:hAnsi="Times New Roman" w:cs="Times New Roman"/>
                  <w:sz w:val="24"/>
                  <w:szCs w:val="24"/>
                </w:rPr>
                <w:t>Recommendation ITU-T G.997.2 (2015) Amd.5 “Physical layer management for G.fast transceivers: Amendment 5”</w:t>
              </w:r>
            </w:hyperlink>
            <w:r w:rsidR="00A11163" w:rsidRPr="004567E2">
              <w:rPr>
                <w:rFonts w:ascii="Times New Roman" w:hAnsi="Times New Roman" w:cs="Times New Roman"/>
                <w:sz w:val="24"/>
                <w:szCs w:val="24"/>
              </w:rPr>
              <w:t xml:space="preserve">  includes:</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 Freezing of performance and monitoring counters when line is forced in L3 state</w:t>
            </w:r>
          </w:p>
          <w:p w:rsidR="00A11163" w:rsidRPr="004567E2" w:rsidRDefault="00A11163" w:rsidP="00A11163">
            <w:pPr>
              <w:pStyle w:val="ListParagraph"/>
              <w:ind w:left="0"/>
              <w:contextualSpacing w:val="0"/>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 Add support for G.9701 Annex D (cDTA).</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A11163" w:rsidP="00A11163">
            <w:pPr>
              <w:widowControl w:val="0"/>
              <w:rPr>
                <w:rFonts w:ascii="Times New Roman" w:hAnsi="Times New Roman" w:cs="Times New Roman"/>
                <w:sz w:val="24"/>
                <w:szCs w:val="24"/>
              </w:rPr>
            </w:pPr>
            <w:r w:rsidRPr="004567E2">
              <w:rPr>
                <w:rFonts w:ascii="Times New Roman" w:hAnsi="Times New Roman" w:cs="Times New Roman"/>
                <w:sz w:val="24"/>
                <w:szCs w:val="24"/>
              </w:rPr>
              <w:t>The new G-series Supplement 59 “</w:t>
            </w:r>
            <w:hyperlink r:id="rId453" w:tooltip="Guidance on optical fibre and cable reliability" w:history="1">
              <w:r w:rsidRPr="004567E2">
                <w:rPr>
                  <w:rStyle w:val="Hyperlink"/>
                  <w:rFonts w:ascii="Times New Roman" w:hAnsi="Times New Roman" w:cs="Times New Roman"/>
                  <w:iCs/>
                  <w:sz w:val="24"/>
                  <w:szCs w:val="24"/>
                </w:rPr>
                <w:t>Guidance on optical fibre and cable reliability</w:t>
              </w:r>
            </w:hyperlink>
            <w:r w:rsidRPr="004567E2">
              <w:rPr>
                <w:rStyle w:val="Hyperlink"/>
                <w:rFonts w:ascii="Times New Roman" w:hAnsi="Times New Roman" w:cs="Times New Roman"/>
                <w:iCs/>
                <w:sz w:val="24"/>
                <w:szCs w:val="24"/>
              </w:rPr>
              <w:t>”</w:t>
            </w:r>
            <w:r w:rsidRPr="004567E2">
              <w:rPr>
                <w:rFonts w:ascii="Times New Roman" w:hAnsi="Times New Roman" w:cs="Times New Roman"/>
                <w:sz w:val="24"/>
                <w:szCs w:val="24"/>
              </w:rPr>
              <w:t xml:space="preserve"> provides guidance relevant to the long-term reliability of cabled optical fibres. The supplement describes the factors that impact the performance of an optical fibre over time, looking at fibres’ optical and mechanical reliability and how this can be impacted by the cabling process.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9.c</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54" w:tooltip="ATM-based multi-pair bonding" w:history="1">
              <w:r w:rsidR="00A11163" w:rsidRPr="004567E2">
                <w:rPr>
                  <w:rStyle w:val="Hyperlink"/>
                  <w:rFonts w:ascii="Times New Roman" w:hAnsi="Times New Roman" w:cs="Times New Roman"/>
                  <w:sz w:val="24"/>
                  <w:szCs w:val="24"/>
                </w:rPr>
                <w:t>Recommendation ITU-T G.998.1 “ATM-based multi-pair bonding”</w:t>
              </w:r>
            </w:hyperlink>
            <w:r w:rsidR="00A11163" w:rsidRPr="004567E2">
              <w:rPr>
                <w:rFonts w:ascii="Times New Roman" w:hAnsi="Times New Roman" w:cs="Times New Roman"/>
                <w:sz w:val="24"/>
                <w:szCs w:val="24"/>
              </w:rPr>
              <w:t xml:space="preserve"> describes a method for bonding of multiple digital subscriber lines (DSL) to transport ATM streams. The specifications of this Recommendation provide a complete description of startup, operational, and contingency modes of operation which allows for interoperability between vendors. This Recommendation includes the following types of requirements, recommendations, and information for defined DSL systems, including:- higher-layer transport-independent requirements;- higher-layer transport-dependent, e.g., ATM, requirements.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55" w:tooltip="Ethernet-based multi-pair bonding" w:history="1">
              <w:r w:rsidR="00A11163" w:rsidRPr="004567E2">
                <w:rPr>
                  <w:rStyle w:val="Hyperlink"/>
                  <w:rFonts w:ascii="Times New Roman" w:hAnsi="Times New Roman" w:cs="Times New Roman"/>
                  <w:sz w:val="24"/>
                  <w:szCs w:val="24"/>
                </w:rPr>
                <w:t>Recommendation ITU-T G.998.2 “Ethernet-based multi-pair bonding”</w:t>
              </w:r>
            </w:hyperlink>
            <w:r w:rsidR="00A11163" w:rsidRPr="004567E2">
              <w:rPr>
                <w:rFonts w:ascii="Times New Roman" w:hAnsi="Times New Roman" w:cs="Times New Roman"/>
                <w:sz w:val="24"/>
                <w:szCs w:val="24"/>
              </w:rPr>
              <w:t xml:space="preserve"> describes a method for bonding of multiple digital subscriber lines (DSL) for Ethernet transport. This Recommendation can support SHDSL, VDSL and ADSL transport as well as future xDSL technologies as they emerge.</w:t>
            </w:r>
            <w:r w:rsidR="00A11163" w:rsidRPr="004567E2">
              <w:rPr>
                <w:rFonts w:ascii="Times New Roman" w:hAnsi="Times New Roman" w:cs="Times New Roman"/>
                <w:sz w:val="24"/>
                <w:szCs w:val="24"/>
              </w:rPr>
              <w:br/>
              <w:t>This Recommendation builds on the IEEE 802.3ah-2004 methods and extends Ethernet transport over other xDSL technologies, including ADSL. The Recommendation does not describe the details of the specific xDSL transport technology. Rather, it focuses on the aspects of the PCS layer modifications required for bonding.</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56" w:tooltip="Multi-pair bonding using time-division inverse multiplexing" w:history="1">
              <w:r w:rsidR="00A11163" w:rsidRPr="004567E2">
                <w:rPr>
                  <w:rStyle w:val="Hyperlink"/>
                  <w:rFonts w:ascii="Times New Roman" w:hAnsi="Times New Roman" w:cs="Times New Roman"/>
                  <w:sz w:val="24"/>
                  <w:szCs w:val="24"/>
                </w:rPr>
                <w:t>Recommendation ITU-T G.998.3 “Multi-pair bonding using time-division inverse multiplexing”</w:t>
              </w:r>
            </w:hyperlink>
            <w:r w:rsidR="00A11163" w:rsidRPr="004567E2">
              <w:rPr>
                <w:rFonts w:ascii="Times New Roman" w:hAnsi="Times New Roman" w:cs="Times New Roman"/>
                <w:sz w:val="24"/>
                <w:szCs w:val="24"/>
              </w:rPr>
              <w:t xml:space="preserve"> describes a method for bonding of multiple digital subscriber lines </w:t>
            </w:r>
            <w:r w:rsidR="00A11163" w:rsidRPr="004567E2">
              <w:rPr>
                <w:rFonts w:ascii="Times New Roman" w:hAnsi="Times New Roman" w:cs="Times New Roman"/>
                <w:sz w:val="24"/>
                <w:szCs w:val="24"/>
              </w:rPr>
              <w:lastRenderedPageBreak/>
              <w:t>(DSL) using Time-Division Inverse Multiplexing (TDIM). This Recommendation provides a specification of the TDIM protocol in sufficient detail, to allow development and testing of interoperable implementations for both transmitter and receiver. It includes a multi-pair synchronization frame format, Bonding Communication Channel (BCC), byte-oriented dispatching, hitless addition and removal of pairs, fast removal of pair upon pair failure, using IEEE 802.3ah handshake for pair discovery, parameter negotiation and setup, and an optional FEC and interleaver.</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57" w:tooltip="Improved impulse noise protection for digital subscriber line (DSL) transceivers" w:history="1">
              <w:r w:rsidR="00A11163" w:rsidRPr="004567E2">
                <w:rPr>
                  <w:rStyle w:val="Hyperlink"/>
                  <w:rFonts w:ascii="Times New Roman" w:hAnsi="Times New Roman" w:cs="Times New Roman"/>
                  <w:sz w:val="24"/>
                  <w:szCs w:val="24"/>
                </w:rPr>
                <w:t>Recommendation ITU-T G.998.4 “Improved impulse noise protection for digital subscriber line (DSL) transceivers”</w:t>
              </w:r>
            </w:hyperlink>
            <w:r w:rsidR="00A11163" w:rsidRPr="004567E2">
              <w:rPr>
                <w:rFonts w:ascii="Times New Roman" w:hAnsi="Times New Roman" w:cs="Times New Roman"/>
                <w:sz w:val="24"/>
                <w:szCs w:val="24"/>
              </w:rPr>
              <w:t xml:space="preserve"> specifies techniques beyond those defined in the existing ITU-T digital subscriber line (DSL) Recommendations ITU-T G.992.3, ITU-T G.992.5 and ITU T G.993.2 to provide enhanced protection against impulse noise or to increase the efficiency of providing impulse noise protection (INP).</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Style w:val="Hyperlink"/>
                <w:rFonts w:ascii="Times New Roman" w:hAnsi="Times New Roman" w:cs="Times New Roman"/>
                <w:sz w:val="24"/>
                <w:szCs w:val="24"/>
              </w:rPr>
            </w:pPr>
            <w:hyperlink r:id="rId458" w:history="1">
              <w:r w:rsidR="00A11163" w:rsidRPr="004567E2">
                <w:rPr>
                  <w:rStyle w:val="Hyperlink"/>
                  <w:rFonts w:ascii="Times New Roman" w:hAnsi="Times New Roman" w:cs="Times New Roman"/>
                  <w:sz w:val="24"/>
                  <w:szCs w:val="24"/>
                </w:rPr>
                <w:t>Recommendation ITU-T G.7721 “Management requirement and information model for synchronization”</w:t>
              </w:r>
            </w:hyperlink>
            <w:r w:rsidR="00A11163" w:rsidRPr="004567E2">
              <w:rPr>
                <w:rStyle w:val="Hyperlink"/>
                <w:rFonts w:ascii="Times New Roman" w:hAnsi="Times New Roman" w:cs="Times New Roman"/>
                <w:sz w:val="24"/>
                <w:szCs w:val="24"/>
              </w:rPr>
              <w:t xml:space="preserve"> </w:t>
            </w:r>
            <w:r w:rsidR="00A11163" w:rsidRPr="004567E2">
              <w:rPr>
                <w:rStyle w:val="Hyperlink"/>
                <w:rFonts w:ascii="Times New Roman" w:hAnsi="Times New Roman" w:cs="Times New Roman"/>
                <w:color w:val="auto"/>
                <w:sz w:val="24"/>
                <w:szCs w:val="24"/>
                <w:u w:val="none"/>
              </w:rPr>
              <w:t>provides the management requirements and a protocol-neutral management information model for managing network elements and network of synchronization.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Style w:val="Hyperlink"/>
                <w:rFonts w:ascii="Times New Roman" w:hAnsi="Times New Roman" w:cs="Times New Roman"/>
                <w:sz w:val="24"/>
                <w:szCs w:val="24"/>
              </w:rPr>
            </w:pPr>
            <w:hyperlink r:id="rId459" w:history="1">
              <w:r w:rsidR="00A11163" w:rsidRPr="004567E2">
                <w:rPr>
                  <w:rStyle w:val="Hyperlink"/>
                  <w:rFonts w:ascii="Times New Roman" w:hAnsi="Times New Roman" w:cs="Times New Roman"/>
                  <w:sz w:val="24"/>
                  <w:szCs w:val="24"/>
                </w:rPr>
                <w:t>Recommendation ITU-T G.8011/Y.1307 “Ethernet service characteristics”</w:t>
              </w:r>
            </w:hyperlink>
            <w:r w:rsidR="00A11163" w:rsidRPr="004567E2">
              <w:rPr>
                <w:rStyle w:val="Hyperlink"/>
                <w:rFonts w:ascii="Times New Roman" w:hAnsi="Times New Roman" w:cs="Times New Roman"/>
                <w:sz w:val="24"/>
                <w:szCs w:val="24"/>
              </w:rPr>
              <w:t xml:space="preserve"> </w:t>
            </w:r>
            <w:r w:rsidR="00A11163" w:rsidRPr="004567E2">
              <w:rPr>
                <w:rStyle w:val="Hyperlink"/>
                <w:rFonts w:ascii="Times New Roman" w:hAnsi="Times New Roman" w:cs="Times New Roman"/>
                <w:color w:val="auto"/>
                <w:sz w:val="24"/>
                <w:szCs w:val="24"/>
                <w:u w:val="none"/>
              </w:rPr>
              <w:t>describes a framework for defining network-oriented characteristics of Ethernet services based on MEF Forum (MEF) specifications. The framework is supported by the modelling of Ethernet layer networks described by ITU-T and MEF. The service definition, service attributes and operation, administration and maintenance (OAM) introduced in this framework are used to create numerous specific Ethernet services.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sz w:val="24"/>
                <w:szCs w:val="24"/>
              </w:rPr>
              <w:t xml:space="preserve">Recommendation ITU_T G.8013/Y.1731 Amd.1 “Operation, administration and maintenance (OAM) functions and mechanisms for Ethernet-based networks - Amendment 1” </w:t>
            </w:r>
            <w:r w:rsidRPr="004567E2">
              <w:rPr>
                <w:rStyle w:val="Hyperlink"/>
                <w:rFonts w:ascii="Times New Roman" w:hAnsi="Times New Roman" w:cs="Times New Roman"/>
                <w:color w:val="auto"/>
                <w:sz w:val="24"/>
                <w:szCs w:val="24"/>
                <w:u w:val="none"/>
              </w:rPr>
              <w:t>provides:</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w:t>
            </w:r>
            <w:r w:rsidRPr="004567E2">
              <w:rPr>
                <w:rStyle w:val="Hyperlink"/>
                <w:rFonts w:ascii="Times New Roman" w:hAnsi="Times New Roman" w:cs="Times New Roman"/>
                <w:color w:val="auto"/>
                <w:sz w:val="24"/>
                <w:szCs w:val="24"/>
                <w:u w:val="none"/>
              </w:rPr>
              <w:tab/>
              <w:t>Modification to “Frame delay” in clause 8</w:t>
            </w:r>
          </w:p>
          <w:p w:rsidR="00A11163" w:rsidRPr="004567E2" w:rsidRDefault="00A11163" w:rsidP="00A11163">
            <w:pPr>
              <w:widowControl w:val="0"/>
              <w:rPr>
                <w:rStyle w:val="Hyperlink"/>
                <w:rFonts w:ascii="Times New Roman" w:hAnsi="Times New Roman" w:cs="Times New Roman"/>
                <w:sz w:val="24"/>
                <w:szCs w:val="24"/>
              </w:rPr>
            </w:pPr>
            <w:r w:rsidRPr="004567E2">
              <w:rPr>
                <w:rStyle w:val="Hyperlink"/>
                <w:rFonts w:ascii="Times New Roman" w:hAnsi="Times New Roman" w:cs="Times New Roman"/>
                <w:color w:val="auto"/>
                <w:sz w:val="24"/>
                <w:szCs w:val="24"/>
                <w:u w:val="none"/>
              </w:rPr>
              <w:t>–</w:t>
            </w:r>
            <w:r w:rsidRPr="004567E2">
              <w:rPr>
                <w:rStyle w:val="Hyperlink"/>
                <w:rFonts w:ascii="Times New Roman" w:hAnsi="Times New Roman" w:cs="Times New Roman"/>
                <w:color w:val="auto"/>
                <w:sz w:val="24"/>
                <w:szCs w:val="24"/>
                <w:u w:val="none"/>
              </w:rPr>
              <w:tab/>
              <w:t>Updates to clauses 2 and 3, and to the Bibliography.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Style w:val="Hyperlink"/>
                <w:rFonts w:ascii="Times New Roman" w:hAnsi="Times New Roman" w:cs="Times New Roman"/>
                <w:sz w:val="24"/>
                <w:szCs w:val="24"/>
              </w:rPr>
            </w:pPr>
            <w:hyperlink r:id="rId460" w:history="1">
              <w:r w:rsidR="00A11163" w:rsidRPr="004567E2">
                <w:rPr>
                  <w:rStyle w:val="Hyperlink"/>
                  <w:rFonts w:ascii="Times New Roman" w:hAnsi="Times New Roman" w:cs="Times New Roman"/>
                  <w:sz w:val="24"/>
                  <w:szCs w:val="24"/>
                </w:rPr>
                <w:t>Recommendation ITU-T G.8121.1/Y.1381.1 “Characteristics of MPLS-TP equipment functional blocks supporting ITU T G.8113.1/Y.1372.1 OAM mechanisms”</w:t>
              </w:r>
            </w:hyperlink>
            <w:r w:rsidR="00A11163" w:rsidRPr="004567E2">
              <w:rPr>
                <w:rStyle w:val="Hyperlink"/>
                <w:rFonts w:ascii="Times New Roman" w:hAnsi="Times New Roman" w:cs="Times New Roman"/>
                <w:sz w:val="24"/>
                <w:szCs w:val="24"/>
              </w:rPr>
              <w:t xml:space="preserve"> </w:t>
            </w:r>
            <w:r w:rsidR="00A11163" w:rsidRPr="004567E2">
              <w:rPr>
                <w:rStyle w:val="Hyperlink"/>
                <w:rFonts w:ascii="Times New Roman" w:hAnsi="Times New Roman" w:cs="Times New Roman"/>
                <w:color w:val="auto"/>
                <w:sz w:val="24"/>
                <w:szCs w:val="24"/>
                <w:u w:val="none"/>
              </w:rPr>
              <w:t>specifies both the functional components and the methodology that should be used in order to specify multi-protocol label switching – transport profile (MPLS-TP) layer network functionality of network elements based on the protocol neutral constructs defined in Recommendation ITU-T G.8121 and on the tools defined in Recommendation ITU T G.8113.1/Y.1372.1.</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Style w:val="Hyperlink"/>
                <w:rFonts w:ascii="Times New Roman" w:hAnsi="Times New Roman" w:cs="Times New Roman"/>
                <w:sz w:val="24"/>
                <w:szCs w:val="24"/>
              </w:rPr>
            </w:pPr>
            <w:hyperlink r:id="rId461" w:history="1">
              <w:r w:rsidR="00A11163" w:rsidRPr="004567E2">
                <w:rPr>
                  <w:rStyle w:val="Hyperlink"/>
                  <w:rFonts w:ascii="Times New Roman" w:hAnsi="Times New Roman" w:cs="Times New Roman"/>
                  <w:sz w:val="24"/>
                  <w:szCs w:val="24"/>
                </w:rPr>
                <w:t>Recommendation ITU-T G.8121.2/Y.1381.2 “Characteristics of MPLS-TP equipment functional blocks supporting ITU T G.8113.2/Y.1372.2 OAM mechanisms”</w:t>
              </w:r>
            </w:hyperlink>
            <w:r w:rsidR="00A11163" w:rsidRPr="004567E2">
              <w:rPr>
                <w:rStyle w:val="Hyperlink"/>
                <w:rFonts w:ascii="Times New Roman" w:hAnsi="Times New Roman" w:cs="Times New Roman"/>
                <w:sz w:val="24"/>
                <w:szCs w:val="24"/>
              </w:rPr>
              <w:t xml:space="preserve"> </w:t>
            </w:r>
            <w:r w:rsidR="00A11163" w:rsidRPr="004567E2">
              <w:rPr>
                <w:rStyle w:val="Hyperlink"/>
                <w:rFonts w:ascii="Times New Roman" w:hAnsi="Times New Roman" w:cs="Times New Roman"/>
                <w:color w:val="auto"/>
                <w:sz w:val="24"/>
                <w:szCs w:val="24"/>
                <w:u w:val="none"/>
              </w:rPr>
              <w:t>specifies both the functional components and the methodology that should be used in order to specify multi-protocol label switching – transport profile (MPLS-TP) layer network functionality of network elements based on the protocol neutral constructs defined in Recommendation ITU T G.8121/Y.1381 and on the tools defined in Recommendation ITU T G.8113.2/Y.1372.2.</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Style w:val="Hyperlink"/>
                <w:rFonts w:ascii="Times New Roman" w:hAnsi="Times New Roman" w:cs="Times New Roman"/>
                <w:sz w:val="24"/>
                <w:szCs w:val="24"/>
              </w:rPr>
            </w:pPr>
            <w:hyperlink r:id="rId462" w:history="1">
              <w:r w:rsidR="00A11163" w:rsidRPr="004567E2">
                <w:rPr>
                  <w:rStyle w:val="Hyperlink"/>
                  <w:rFonts w:ascii="Times New Roman" w:hAnsi="Times New Roman" w:cs="Times New Roman"/>
                  <w:sz w:val="24"/>
                  <w:szCs w:val="24"/>
                </w:rPr>
                <w:t>Recommendation ITU-T G.8121/Y.1381 “Characteristics of MPLS-TP equipment functional blocks”</w:t>
              </w:r>
            </w:hyperlink>
            <w:r w:rsidR="00A11163" w:rsidRPr="004567E2">
              <w:rPr>
                <w:rStyle w:val="Hyperlink"/>
                <w:rFonts w:ascii="Times New Roman" w:hAnsi="Times New Roman" w:cs="Times New Roman"/>
                <w:sz w:val="24"/>
                <w:szCs w:val="24"/>
              </w:rPr>
              <w:t xml:space="preserve"> </w:t>
            </w:r>
            <w:r w:rsidR="00A11163" w:rsidRPr="004567E2">
              <w:rPr>
                <w:rStyle w:val="Hyperlink"/>
                <w:rFonts w:ascii="Times New Roman" w:hAnsi="Times New Roman" w:cs="Times New Roman"/>
                <w:color w:val="auto"/>
                <w:sz w:val="24"/>
                <w:szCs w:val="24"/>
                <w:u w:val="none"/>
              </w:rPr>
              <w:t>specifies both the functional components and the methodology that should be used in order to specify multi-protocol label switching – transport profile (MPLS-TP) layer network functionality of network elements; it does not specify individual MPLS-TP network equipment as such.</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63" w:tooltip="Interface between the link layer and the physical layer for digital subscriber line (DSL) transceivers" w:history="1">
              <w:r w:rsidR="00A11163" w:rsidRPr="004567E2">
                <w:rPr>
                  <w:rStyle w:val="Hyperlink"/>
                  <w:rFonts w:ascii="Times New Roman" w:hAnsi="Times New Roman" w:cs="Times New Roman"/>
                  <w:sz w:val="24"/>
                  <w:szCs w:val="24"/>
                </w:rPr>
                <w:t>Recommendation ITU-T G.999.1 “Interface between the link layer and the physical layer for digital subscriber line (DSL) transceivers”</w:t>
              </w:r>
            </w:hyperlink>
            <w:r w:rsidR="00A11163" w:rsidRPr="004567E2">
              <w:rPr>
                <w:rFonts w:ascii="Times New Roman" w:hAnsi="Times New Roman" w:cs="Times New Roman"/>
                <w:sz w:val="24"/>
                <w:szCs w:val="24"/>
              </w:rPr>
              <w:t xml:space="preserve"> defines a point-to-point interface between the LINK layer device such as a network processor and a PHY device supporting multiple DSL lines, such as VDSL2, ADSL2, and SHDSL.</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64" w:history="1">
              <w:r w:rsidR="00A11163" w:rsidRPr="004567E2">
                <w:rPr>
                  <w:rStyle w:val="Hyperlink"/>
                  <w:rFonts w:ascii="Times New Roman" w:hAnsi="Times New Roman" w:cs="Times New Roman"/>
                  <w:sz w:val="24"/>
                  <w:szCs w:val="24"/>
                </w:rPr>
                <w:t>Recommendation ITU-T G.7701 (2016) Amd.1 “Common control aspects - Amendment 1</w:t>
              </w:r>
            </w:hyperlink>
            <w:r w:rsidR="00A11163" w:rsidRPr="004567E2">
              <w:rPr>
                <w:rFonts w:ascii="Times New Roman" w:hAnsi="Times New Roman" w:cs="Times New Roman"/>
                <w:sz w:val="24"/>
                <w:szCs w:val="24"/>
              </w:rPr>
              <w:t>” describes concepts that are common to both software defined networking (SDN) controller and automatically switched optical network (ASON) control approaches, including common aspects of the interaction between the control functions, management functions and transport resources.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65" w:history="1">
              <w:r w:rsidR="00A11163" w:rsidRPr="004567E2">
                <w:rPr>
                  <w:rStyle w:val="Hyperlink"/>
                  <w:rFonts w:ascii="Times New Roman" w:hAnsi="Times New Roman" w:cs="Times New Roman"/>
                  <w:sz w:val="24"/>
                  <w:szCs w:val="24"/>
                </w:rPr>
                <w:t xml:space="preserve">Recommendation ITU-T G.7702 “Architecture for SDN control of transport </w:t>
              </w:r>
              <w:r w:rsidR="00A11163" w:rsidRPr="004567E2">
                <w:rPr>
                  <w:rStyle w:val="Hyperlink"/>
                  <w:rFonts w:ascii="Times New Roman" w:hAnsi="Times New Roman" w:cs="Times New Roman"/>
                  <w:sz w:val="24"/>
                  <w:szCs w:val="24"/>
                </w:rPr>
                <w:lastRenderedPageBreak/>
                <w:t>networks”</w:t>
              </w:r>
            </w:hyperlink>
            <w:r w:rsidR="00A11163" w:rsidRPr="004567E2">
              <w:rPr>
                <w:rFonts w:ascii="Times New Roman" w:hAnsi="Times New Roman" w:cs="Times New Roman"/>
                <w:sz w:val="24"/>
                <w:szCs w:val="24"/>
              </w:rPr>
              <w:t xml:space="preserve"> describes the reference architecture for Software Defined Networking (SDN) control of transport networks applicable to both connection-oriented circuit and/or packet transport networks. This architecture is described in terms of abstract components and interfaces that represent logical functions (abstract entities versus physical implementations).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66" w:history="1">
              <w:r w:rsidR="00A11163" w:rsidRPr="004567E2">
                <w:rPr>
                  <w:rStyle w:val="Hyperlink"/>
                  <w:rFonts w:ascii="Times New Roman" w:hAnsi="Times New Roman" w:cs="Times New Roman"/>
                  <w:sz w:val="24"/>
                  <w:szCs w:val="24"/>
                </w:rPr>
                <w:t>Recommendation ITU-T G.7711 “Generic protocol-neutral management Information Model for Transport Resources”</w:t>
              </w:r>
            </w:hyperlink>
            <w:r w:rsidR="00A11163" w:rsidRPr="004567E2">
              <w:rPr>
                <w:rFonts w:ascii="Times New Roman" w:hAnsi="Times New Roman" w:cs="Times New Roman"/>
                <w:sz w:val="24"/>
                <w:szCs w:val="24"/>
              </w:rPr>
              <w:t xml:space="preserve"> specifies a core information model (IM) of transport resources. The IM is applicable to the management and control of transport networks regardless of whether they utilize traditional operation support system (OSS) management, an automatically switched optical network (ASON) control plane or a software-defined networking (SDN) controller to configure transport connectivity. The model is also applicable regardless of the technology of the underlying transport network. Furthermore, the applicability of the IM is independent of the ultimate protocols that will be used in the management and control interfaces.</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The 2016 edition of this Recommendation has changed the document structure, added an «experimental» address structure to the foundation model, changed the name of TopologicalEntity to ForwardingEntity, incorporated ForwardingConstruct (FC) under ForwardingEntity and considers FC as closely related to topology, added the resilience model, added the equipment model and added the Specification model.</w:t>
            </w:r>
          </w:p>
          <w:p w:rsidR="00A11163" w:rsidRPr="004567E2" w:rsidRDefault="00A11163" w:rsidP="00A11163">
            <w:pPr>
              <w:pStyle w:val="ListParagraph"/>
              <w:ind w:left="0"/>
              <w:contextualSpacing w:val="0"/>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The 2018 edition of this Recommendation has enhanced the Forwarding &amp; Termination, Foundation, Topology, Resilence, Equipment, and Specification models, and added the Control, Operations Pattern, Processing Construct, Constraint Domain models, and also updated the model description Appendixes. Appendix IV.6 “Synchronization management model” and IV.7 “Media management model” have been remove from this edition as they are being covered by separate Recommendations.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67" w:history="1">
              <w:r w:rsidR="00A11163" w:rsidRPr="004567E2">
                <w:rPr>
                  <w:rStyle w:val="Hyperlink"/>
                  <w:rFonts w:ascii="Times New Roman" w:hAnsi="Times New Roman" w:cs="Times New Roman"/>
                  <w:sz w:val="24"/>
                  <w:szCs w:val="24"/>
                </w:rPr>
                <w:t xml:space="preserve">Recommendation ITU-T G.7714.1/Y.1705.1 “Protocol for automatic discovery in </w:t>
              </w:r>
              <w:r w:rsidR="00A11163" w:rsidRPr="004567E2">
                <w:rPr>
                  <w:rStyle w:val="Hyperlink"/>
                  <w:rFonts w:ascii="Times New Roman" w:hAnsi="Times New Roman" w:cs="Times New Roman"/>
                  <w:sz w:val="24"/>
                  <w:szCs w:val="24"/>
                </w:rPr>
                <w:lastRenderedPageBreak/>
                <w:t>transport networks”</w:t>
              </w:r>
            </w:hyperlink>
            <w:r w:rsidR="00A11163" w:rsidRPr="004567E2">
              <w:rPr>
                <w:rFonts w:ascii="Times New Roman" w:hAnsi="Times New Roman" w:cs="Times New Roman"/>
                <w:sz w:val="24"/>
                <w:szCs w:val="24"/>
              </w:rPr>
              <w:t xml:space="preserve"> describes the methods, procedures and transport plane mechanisms for discovering layer adjacency according to the requirements of Recommendation ITU T G.7714/Y.1705. Layer adjacency discovery describes the process of discovering link connection end-point relationships and verifying their connectivity. Two alternative methods are described: one using a test set in the client layer, the other using in-band overhead in the server layer. Additional actions that may be required for obtaining physical media adjacency discovery, transport entity capability exchange, etc., will be addressed in future Recommendations.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68" w:history="1">
              <w:r w:rsidR="00A11163" w:rsidRPr="004567E2">
                <w:rPr>
                  <w:rStyle w:val="Hyperlink"/>
                  <w:rFonts w:ascii="Times New Roman" w:hAnsi="Times New Roman" w:cs="Times New Roman"/>
                  <w:sz w:val="24"/>
                  <w:szCs w:val="24"/>
                </w:rPr>
                <w:t>Recommendation ITU-T G.8021/Y.1341 “Characteristics of Ethernet transport network equipment functional blocks”</w:t>
              </w:r>
            </w:hyperlink>
            <w:r w:rsidR="00A11163" w:rsidRPr="004567E2">
              <w:rPr>
                <w:rFonts w:ascii="Times New Roman" w:hAnsi="Times New Roman" w:cs="Times New Roman"/>
                <w:sz w:val="24"/>
                <w:szCs w:val="24"/>
              </w:rPr>
              <w:t xml:space="preserve"> specifies both the functional components and the methodology that should be used in order to specify the Ethernet transport network functionality of network elements; it does not specify individual Ethernet transport network equipment.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69" w:history="1">
              <w:r w:rsidR="00A11163" w:rsidRPr="004567E2">
                <w:rPr>
                  <w:rStyle w:val="Hyperlink"/>
                  <w:rFonts w:ascii="Times New Roman" w:hAnsi="Times New Roman" w:cs="Times New Roman"/>
                  <w:sz w:val="24"/>
                  <w:szCs w:val="24"/>
                </w:rPr>
                <w:t>Recommendation ITU-T G.8023 “Characteristics of equipment functional blocks supporting Ethernet physical layer and FlexE interfaces”</w:t>
              </w:r>
            </w:hyperlink>
            <w:r w:rsidR="00A11163" w:rsidRPr="004567E2">
              <w:rPr>
                <w:rFonts w:ascii="Times New Roman" w:hAnsi="Times New Roman" w:cs="Times New Roman"/>
                <w:sz w:val="24"/>
                <w:szCs w:val="24"/>
              </w:rPr>
              <w:t xml:space="preserve"> specifies both the functional components and the methodology that should be used in order to specify the Ethernet physical layer and Flex Ethernet interfaces.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70" w:history="1">
              <w:r w:rsidR="00A11163" w:rsidRPr="004567E2">
                <w:rPr>
                  <w:rStyle w:val="Hyperlink"/>
                  <w:rFonts w:ascii="Times New Roman" w:hAnsi="Times New Roman" w:cs="Times New Roman"/>
                  <w:sz w:val="24"/>
                  <w:szCs w:val="24"/>
                </w:rPr>
                <w:t>Recommendation ITU-T G.8031/Y.1342 “Ethernet linear protection switching”</w:t>
              </w:r>
            </w:hyperlink>
            <w:r w:rsidR="00A11163" w:rsidRPr="004567E2">
              <w:rPr>
                <w:rFonts w:ascii="Times New Roman" w:hAnsi="Times New Roman" w:cs="Times New Roman"/>
                <w:sz w:val="24"/>
                <w:szCs w:val="24"/>
              </w:rPr>
              <w:t xml:space="preserve"> describes the specifics of linear protection switching for Ethernet VLAN signals. Included are details pertaining to ETH linear protection characteristics, architectures and the automatic protection switching (APS) protocol. The protection scheme considered in this Recommendation is:</w:t>
            </w:r>
            <w:r w:rsidR="00A11163" w:rsidRPr="004567E2">
              <w:rPr>
                <w:rFonts w:ascii="Times New Roman" w:hAnsi="Times New Roman" w:cs="Times New Roman"/>
                <w:sz w:val="24"/>
                <w:szCs w:val="24"/>
              </w:rPr>
              <w:br/>
              <w:t>– VLAN-based Ethernet subnetwork connection linear protection with sublayer monitoring.</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71" w:history="1">
              <w:r w:rsidR="00A11163" w:rsidRPr="004567E2">
                <w:rPr>
                  <w:rStyle w:val="Hyperlink"/>
                  <w:rFonts w:ascii="Times New Roman" w:hAnsi="Times New Roman" w:cs="Times New Roman"/>
                  <w:sz w:val="24"/>
                  <w:szCs w:val="24"/>
                </w:rPr>
                <w:t>Recommendation ITU-T G.8031/Y.1342 (2015) Amd.1 “Ethernet linear protection switching- Amendment 1”</w:t>
              </w:r>
            </w:hyperlink>
            <w:r w:rsidR="00A11163" w:rsidRPr="004567E2">
              <w:rPr>
                <w:rFonts w:ascii="Times New Roman" w:hAnsi="Times New Roman" w:cs="Times New Roman"/>
                <w:sz w:val="24"/>
                <w:szCs w:val="24"/>
              </w:rPr>
              <w:t xml:space="preserve"> describes the specifics of linear protection switching for Ethernet VLAN signals. Included are details pertaining to ETH linear protection characteristics, architectures and the automatic protection switching (APS) protocol. The protection scheme considered in this Recommendation is:</w:t>
            </w:r>
          </w:p>
          <w:p w:rsidR="00A11163" w:rsidRPr="004567E2" w:rsidRDefault="00A11163" w:rsidP="00A11163">
            <w:pPr>
              <w:pStyle w:val="ListParagraph"/>
              <w:ind w:left="0"/>
              <w:contextualSpacing w:val="0"/>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lastRenderedPageBreak/>
              <w:t>–</w:t>
            </w:r>
            <w:r w:rsidRPr="004567E2">
              <w:rPr>
                <w:rFonts w:ascii="Times New Roman" w:hAnsi="Times New Roman" w:cs="Times New Roman"/>
                <w:sz w:val="24"/>
                <w:szCs w:val="24"/>
              </w:rPr>
              <w:tab/>
              <w:t>VLAN-based Ethernet subnetwork connection linear protection with sublayer monitoring.</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472" w:history="1">
              <w:r w:rsidR="00A11163" w:rsidRPr="004567E2">
                <w:rPr>
                  <w:rStyle w:val="Hyperlink"/>
                  <w:rFonts w:ascii="Times New Roman" w:hAnsi="Times New Roman" w:cs="Times New Roman"/>
                  <w:sz w:val="24"/>
                  <w:szCs w:val="24"/>
                </w:rPr>
                <w:t>Recommendation ITU-T G.8032/Y.1344 “Ethernet ring protection switching”</w:t>
              </w:r>
            </w:hyperlink>
            <w:r w:rsidR="00A11163" w:rsidRPr="004567E2">
              <w:rPr>
                <w:rFonts w:ascii="Times New Roman" w:hAnsi="Times New Roman" w:cs="Times New Roman"/>
                <w:sz w:val="24"/>
                <w:szCs w:val="24"/>
              </w:rPr>
              <w:t xml:space="preserve"> defines the automatic protection switching (APS) protocol and protection switching mechanisms for ETH layer Ethernet ring topologies. Included are details pertaining to Ethernet ring protection characteristics, architectures and the ring APS (R-APS) protocol.</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73" w:history="1">
              <w:r w:rsidR="00A11163" w:rsidRPr="004567E2">
                <w:rPr>
                  <w:rStyle w:val="Hyperlink"/>
                  <w:rFonts w:ascii="Times New Roman" w:hAnsi="Times New Roman" w:cs="Times New Roman"/>
                  <w:sz w:val="24"/>
                  <w:szCs w:val="24"/>
                </w:rPr>
                <w:t>Recommendation ITU-T G.8051/Y.1345 “Management aspects of the Ethernet Transport (ET) capable network element”</w:t>
              </w:r>
            </w:hyperlink>
            <w:r w:rsidR="00A11163" w:rsidRPr="004567E2">
              <w:rPr>
                <w:rFonts w:ascii="Times New Roman" w:hAnsi="Times New Roman" w:cs="Times New Roman"/>
                <w:sz w:val="24"/>
                <w:szCs w:val="24"/>
              </w:rPr>
              <w:t xml:space="preserve"> (under approval) addresses management aspects of the Ethernet transport network element containing transport functions of one or more of the layer networks of the Ethernet transport network. The management of the Ethernet layer networks is separable from that of its client layer networks so that the same means of management can be used regardless of the client. The management functions for fault management, configuration management, performance monitoring, and security management are specified.</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The 2009 Revision of this Recommendation has added the management of additional transport functions that have been introduced in the 2009 Revision of Recommendation ITU T G.8021/Y.1341.</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The 2013 Revision of this Recommendation has added the management of additional functions, including: CSF; proactive loss measurement using LMM/LMR; proactive delay measurement using DMM/DMR and 1DM; synthetic loss measurement using SLM/SLR and 1SL (proactive and on-demand); PM requirements on PDU generation type, Message period, Measurement interval, Repetition period, Start time, Stop time and Session duration; and PM data collection requirements.</w:t>
            </w:r>
          </w:p>
          <w:p w:rsidR="00A11163" w:rsidRPr="004567E2" w:rsidRDefault="00A11163" w:rsidP="00A11163">
            <w:pPr>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 xml:space="preserve">The 2015 Revision of this Recommendation has updated the management information (MI) signals for the ETHx_FT function in clause 8.5, the MI signals for the ETHx/MCC function in clause 8.6, the one-way synthetic loss measurement (1SL) MI signal for the ETHDe_FT_Sk function in clause 8.8, and the on-demand </w:t>
            </w:r>
            <w:r w:rsidRPr="004567E2">
              <w:rPr>
                <w:rFonts w:ascii="Times New Roman" w:hAnsi="Times New Roman" w:cs="Times New Roman"/>
                <w:sz w:val="24"/>
                <w:szCs w:val="24"/>
              </w:rPr>
              <w:lastRenderedPageBreak/>
              <w:t>and proactive loss measurement requirements in clause 10.2.The 2018 Revision of this Recommendation has updated the fault cause persistency function at ETH-C function for ring protection, the configuration management for protection switching and connection functions. And, in align with ITU T G.8021/Y.1341, this revision has removed both fault management functions and the management information (MI) signals that are related to ETYn_TT, ODUkP-X-L/MT_A, and ETYn/ETH_A. This revision has also removed theMI signals to activate processes in Adaptation functions (i.e. MI_Active).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74" w:history="1">
              <w:r w:rsidR="00A11163" w:rsidRPr="004567E2">
                <w:rPr>
                  <w:rStyle w:val="Hyperlink"/>
                  <w:rFonts w:ascii="Times New Roman" w:hAnsi="Times New Roman" w:cs="Times New Roman"/>
                  <w:sz w:val="24"/>
                  <w:szCs w:val="24"/>
                </w:rPr>
                <w:t>Recommendation ITU-T G.8051/Y.1345 (2015) Amd.1 “Management aspects of the Ethernet Transport (ET) capable network element”</w:t>
              </w:r>
            </w:hyperlink>
            <w:r w:rsidR="00A11163" w:rsidRPr="004567E2">
              <w:rPr>
                <w:rFonts w:ascii="Times New Roman" w:hAnsi="Times New Roman" w:cs="Times New Roman"/>
                <w:sz w:val="24"/>
                <w:szCs w:val="24"/>
              </w:rPr>
              <w:t xml:space="preserve"> provides:</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 xml:space="preserve">Addition of fFOP -PM and fFOP-TO for ETH_C_MI in clause 7 </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Deletion of the description related to ODUkP-X-L/MT_A in clause 7, 8 and 10, due to the deletion LCAS-capable ODUk to ETH Adaptation function in G.8021</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 xml:space="preserve">Update the text in clause 8.3 "Protection switching" </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Update RAPS (G.8032) related MIs for ETH-C in Table8-4</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Addition the definitions for Traffic condition and shaping functions in clause 3</w:t>
            </w:r>
          </w:p>
          <w:p w:rsidR="00A11163" w:rsidRPr="004567E2" w:rsidRDefault="00A11163" w:rsidP="00A11163">
            <w:pPr>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Update some reference in clause 2.</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475" w:history="1">
              <w:r w:rsidR="00A11163" w:rsidRPr="004567E2">
                <w:rPr>
                  <w:rStyle w:val="Hyperlink"/>
                  <w:rFonts w:ascii="Times New Roman" w:hAnsi="Times New Roman" w:cs="Times New Roman"/>
                  <w:sz w:val="24"/>
                  <w:szCs w:val="24"/>
                </w:rPr>
                <w:t>Recommendation ITU-T G.8052/Y.1346 “Protocol-neutral management information model for the Ethernet transport capable network element”</w:t>
              </w:r>
            </w:hyperlink>
            <w:r w:rsidR="00A11163" w:rsidRPr="004567E2">
              <w:rPr>
                <w:rStyle w:val="Hyperlink"/>
                <w:rFonts w:ascii="Times New Roman" w:hAnsi="Times New Roman" w:cs="Times New Roman"/>
                <w:sz w:val="24"/>
                <w:szCs w:val="24"/>
              </w:rPr>
              <w:t xml:space="preserve"> (under approval) </w:t>
            </w:r>
            <w:r w:rsidR="00A11163" w:rsidRPr="004567E2">
              <w:rPr>
                <w:rStyle w:val="Hyperlink"/>
                <w:rFonts w:ascii="Times New Roman" w:hAnsi="Times New Roman" w:cs="Times New Roman"/>
                <w:color w:val="auto"/>
                <w:sz w:val="24"/>
                <w:szCs w:val="24"/>
                <w:u w:val="none"/>
              </w:rPr>
              <w:t>contains the protocol neutral UML information model for Ethernet transport network (NE) management. The model is based on the Ethernet equipment functions specified in Recommendation ITU-T G.8021/Y.1341, generic management requirements in Recommendation ITU-T G.7710/Y.1701, and Ethernet specific management requirements in Recommendation ITU T G.8051/Y.1345.</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 xml:space="preserve">The 2016 revision of this Recommendation changes the UML modelling tool from RSA to open source Papyrus tool, updates the Recommendation ITU-T G.8052/Y.1346 information model to align it with the Recommendation ITU-T G.7711/Y.1702 v2.0 Core information model, drops subclassing of the TP classes </w:t>
            </w:r>
            <w:r w:rsidRPr="004567E2">
              <w:rPr>
                <w:rStyle w:val="Hyperlink"/>
                <w:rFonts w:ascii="Times New Roman" w:hAnsi="Times New Roman" w:cs="Times New Roman"/>
                <w:color w:val="auto"/>
                <w:sz w:val="24"/>
                <w:szCs w:val="24"/>
                <w:u w:val="none"/>
              </w:rPr>
              <w:lastRenderedPageBreak/>
              <w:t>from Recommendation ITU-T M.3160, and supports the additional management requirements in Recommendation ITU-T G.8051/Y.1345.</w:t>
            </w:r>
          </w:p>
          <w:p w:rsidR="00A11163" w:rsidRPr="004567E2" w:rsidRDefault="00A11163" w:rsidP="00A11163">
            <w:pPr>
              <w:widowControl w:val="0"/>
              <w:rPr>
                <w:rStyle w:val="Hyperlink"/>
                <w:rFonts w:ascii="Times New Roman" w:hAnsi="Times New Roman" w:cs="Times New Roman"/>
                <w:sz w:val="24"/>
                <w:szCs w:val="24"/>
              </w:rPr>
            </w:pPr>
            <w:r w:rsidRPr="004567E2">
              <w:rPr>
                <w:rStyle w:val="Hyperlink"/>
                <w:rFonts w:ascii="Times New Roman" w:hAnsi="Times New Roman" w:cs="Times New Roman"/>
                <w:color w:val="auto"/>
                <w:sz w:val="24"/>
                <w:szCs w:val="24"/>
                <w:u w:val="none"/>
              </w:rPr>
              <w:t>The 2018 revision of this Recommendation up-versions the UML model tool to Papyrus v3.2.0 and the profile to v0.2.13, deletes ODUkP-X-L (from the CsfRdiFdiEnableSink_Pac, CsfRdiFdiEnableSource_Pac, and CsfReportSink_Pac), replace ETY termination points with ETHnull termination points, removes ODUkp/ETH_A and ODU2P/ETHPP-OS_A, adds Annex A for the Ethernet Spec model.</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76" w:history="1">
              <w:r w:rsidR="00A11163" w:rsidRPr="004567E2">
                <w:rPr>
                  <w:rStyle w:val="Hyperlink"/>
                  <w:rFonts w:ascii="Times New Roman" w:hAnsi="Times New Roman" w:cs="Times New Roman"/>
                  <w:sz w:val="24"/>
                  <w:szCs w:val="24"/>
                </w:rPr>
                <w:t>Recommendation ITU-T G.8112/Y.1371 (2015) Amd.1 “Interfaces for the MPLS transport profile layer network: Amendment 1”</w:t>
              </w:r>
            </w:hyperlink>
            <w:r w:rsidR="00A11163" w:rsidRPr="004567E2">
              <w:rPr>
                <w:rFonts w:ascii="Times New Roman" w:hAnsi="Times New Roman" w:cs="Times New Roman"/>
                <w:sz w:val="24"/>
                <w:szCs w:val="24"/>
              </w:rPr>
              <w:t xml:space="preserve"> avoids redefining terms defined in Recommendations ITU-T G.8001/Y.1354 and G.8101/Y.1355 by referencing these Recommendations.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77" w:history="1">
              <w:r w:rsidR="00A11163" w:rsidRPr="004567E2">
                <w:rPr>
                  <w:rStyle w:val="Hyperlink"/>
                  <w:rFonts w:ascii="Times New Roman" w:hAnsi="Times New Roman" w:cs="Times New Roman"/>
                  <w:sz w:val="24"/>
                  <w:szCs w:val="24"/>
                </w:rPr>
                <w:t>Recommendation ITU-T G.8113.2/Y.1372.2 (2015) Amd.1 “Operations, administration and maintenance mechanisms for MPLS-TP networks using the tools defined for MPLS - Amendment 1”</w:t>
              </w:r>
            </w:hyperlink>
            <w:r w:rsidR="00A11163" w:rsidRPr="004567E2">
              <w:rPr>
                <w:rFonts w:ascii="Times New Roman" w:hAnsi="Times New Roman" w:cs="Times New Roman"/>
                <w:sz w:val="24"/>
                <w:szCs w:val="24"/>
              </w:rPr>
              <w:t xml:space="preserve"> adds material related to client signal fail handling.</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78" w:history="1">
              <w:r w:rsidR="00A11163" w:rsidRPr="004567E2">
                <w:rPr>
                  <w:rStyle w:val="Hyperlink"/>
                  <w:rFonts w:ascii="Times New Roman" w:hAnsi="Times New Roman" w:cs="Times New Roman"/>
                  <w:sz w:val="24"/>
                  <w:szCs w:val="24"/>
                </w:rPr>
                <w:t>Recommendation ITU-T G.8121/Y.1318 (2016) Amd.1 “Characteristics of MPLS-TP equipment functional blocks: Amendment 1”</w:t>
              </w:r>
            </w:hyperlink>
            <w:r w:rsidR="00A11163" w:rsidRPr="004567E2">
              <w:rPr>
                <w:rFonts w:ascii="Times New Roman" w:hAnsi="Times New Roman" w:cs="Times New Roman"/>
                <w:sz w:val="24"/>
                <w:szCs w:val="24"/>
              </w:rPr>
              <w:t xml:space="preserve"> deletes the LCAS-capable ODUk to MPLS-TP Adaptation function (clause 11.2.2).</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79" w:history="1">
              <w:r w:rsidR="00A11163" w:rsidRPr="004567E2">
                <w:rPr>
                  <w:rStyle w:val="Hyperlink"/>
                  <w:rFonts w:ascii="Times New Roman" w:hAnsi="Times New Roman" w:cs="Times New Roman"/>
                  <w:sz w:val="24"/>
                  <w:szCs w:val="24"/>
                </w:rPr>
                <w:t>Recommendation ITU-T G.8131/Y.1382 “Linear protection switching for MPLS transport profile”</w:t>
              </w:r>
            </w:hyperlink>
            <w:r w:rsidR="00A11163" w:rsidRPr="004567E2">
              <w:rPr>
                <w:rFonts w:ascii="Times New Roman" w:hAnsi="Times New Roman" w:cs="Times New Roman"/>
                <w:sz w:val="24"/>
                <w:szCs w:val="24"/>
              </w:rPr>
              <w:t xml:space="preserve"> provides architecture and mechanisms for subnetwork connection (SNC) protection switching for MPLS transport profile (MPLS-TP) networks. It describes the SNC protection architectures type, the uni- and bidirectional switching types and the revertive/non-revertive operation types. It defines an automatic protection coordination protocol used to coordinate both ends of the protected domain.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80" w:history="1">
              <w:r w:rsidR="00A11163" w:rsidRPr="004567E2">
                <w:rPr>
                  <w:rStyle w:val="Hyperlink"/>
                  <w:rFonts w:ascii="Times New Roman" w:hAnsi="Times New Roman" w:cs="Times New Roman"/>
                  <w:sz w:val="24"/>
                  <w:szCs w:val="24"/>
                </w:rPr>
                <w:t>Recommendation ITU-T G.8132/Y.1383 “MPLS-TP Shared Ring Protection”</w:t>
              </w:r>
            </w:hyperlink>
            <w:r w:rsidR="00A11163" w:rsidRPr="004567E2">
              <w:rPr>
                <w:rFonts w:ascii="Times New Roman" w:hAnsi="Times New Roman" w:cs="Times New Roman"/>
                <w:sz w:val="24"/>
                <w:szCs w:val="24"/>
              </w:rPr>
              <w:t xml:space="preserve"> provides an architecture and mechanisms for shared ring protection for MPLS transport profile (MPLS-TP) networks. It describes the MPLS-TP Shared Ring </w:t>
            </w:r>
            <w:r w:rsidR="00A11163" w:rsidRPr="004567E2">
              <w:rPr>
                <w:rFonts w:ascii="Times New Roman" w:hAnsi="Times New Roman" w:cs="Times New Roman"/>
                <w:sz w:val="24"/>
                <w:szCs w:val="24"/>
              </w:rPr>
              <w:lastRenderedPageBreak/>
              <w:t>Protection (MSRP) mechanisms and the Ring Protection Switch (RPS) protocol.</w:t>
            </w:r>
          </w:p>
          <w:p w:rsidR="00A11163" w:rsidRPr="004567E2" w:rsidRDefault="00A11163" w:rsidP="00A11163">
            <w:pPr>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The mechanisms defined herein protect point-to-point MPLS-TP label switched paths (LSPs) against failures at the MPLS-TP section layer.</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81" w:history="1">
              <w:r w:rsidR="00A11163" w:rsidRPr="004567E2">
                <w:rPr>
                  <w:rStyle w:val="Hyperlink"/>
                  <w:rFonts w:ascii="Times New Roman" w:hAnsi="Times New Roman" w:cs="Times New Roman"/>
                  <w:sz w:val="24"/>
                  <w:szCs w:val="24"/>
                </w:rPr>
                <w:t>Recommendation ITU-T G.8151/Y.1374 “Management aspects of the MPLS-TP network element”</w:t>
              </w:r>
            </w:hyperlink>
            <w:r w:rsidR="00A11163" w:rsidRPr="004567E2">
              <w:rPr>
                <w:rFonts w:ascii="Times New Roman" w:hAnsi="Times New Roman" w:cs="Times New Roman"/>
                <w:sz w:val="24"/>
                <w:szCs w:val="24"/>
              </w:rPr>
              <w:t xml:space="preserve"> addresses management aspects of the MPLS Transport Profile (MPLS-TP) capable network element containing transport functions of one or more of the layer networks of the MPLS-TP network. The management of the MPLS-TP layer networks is separable from that of its client layer networks so that the same means of management can be used regardless of the client. The management functions for fault management, configuration management, performance monitoring, and security management are specified.</w:t>
            </w:r>
          </w:p>
          <w:p w:rsidR="00A11163" w:rsidRPr="004567E2" w:rsidRDefault="00A11163" w:rsidP="00A11163">
            <w:pPr>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The 2011 Revision of this Recommendation aligns with the MPLS-TP architecture and requirements jointly developed by IETF and ITU-T and provides the specification for managing MPLS-TP NEs that support the OAM protocol neutral equipment functionality as defined in Recommendation ITU-T G.8121/Y.1381.</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482" w:history="1">
              <w:r w:rsidR="00A11163" w:rsidRPr="004567E2">
                <w:rPr>
                  <w:rStyle w:val="Hyperlink"/>
                  <w:rFonts w:ascii="Times New Roman" w:hAnsi="Times New Roman" w:cs="Times New Roman"/>
                  <w:sz w:val="24"/>
                  <w:szCs w:val="24"/>
                </w:rPr>
                <w:t>Recommendation ITU-T G.8152/Y.1375 “Protocol-neutral management information model for the MPLS-TP network element” (under approval)</w:t>
              </w:r>
            </w:hyperlink>
            <w:r w:rsidR="00A11163" w:rsidRPr="004567E2">
              <w:rPr>
                <w:rStyle w:val="Hyperlink"/>
                <w:rFonts w:ascii="Times New Roman" w:hAnsi="Times New Roman" w:cs="Times New Roman"/>
                <w:sz w:val="24"/>
                <w:szCs w:val="24"/>
              </w:rPr>
              <w:t xml:space="preserve"> </w:t>
            </w:r>
            <w:r w:rsidR="00A11163" w:rsidRPr="004567E2">
              <w:rPr>
                <w:rStyle w:val="Hyperlink"/>
                <w:rFonts w:ascii="Times New Roman" w:hAnsi="Times New Roman" w:cs="Times New Roman"/>
                <w:color w:val="auto"/>
                <w:sz w:val="24"/>
                <w:szCs w:val="24"/>
                <w:u w:val="none"/>
              </w:rPr>
              <w:t>contains the protocol neutral unified modelling language (UML) model for multi-protocol label switching – transport profile (MPLS-TP) network element (NE) management.</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 xml:space="preserve">This Recommendation provides a representation of the MPLS-TP technology using the methodologies that have been used for other transport technologies (e.g., SDH, OTN and Ethernet). </w:t>
            </w:r>
          </w:p>
          <w:p w:rsidR="00A11163" w:rsidRPr="004567E2" w:rsidRDefault="00A11163" w:rsidP="00A11163">
            <w:pPr>
              <w:widowControl w:val="0"/>
              <w:rPr>
                <w:rStyle w:val="Hyperlink"/>
                <w:rFonts w:ascii="Times New Roman" w:hAnsi="Times New Roman" w:cs="Times New Roman"/>
                <w:sz w:val="24"/>
                <w:szCs w:val="24"/>
              </w:rPr>
            </w:pPr>
            <w:r w:rsidRPr="004567E2">
              <w:rPr>
                <w:rStyle w:val="Hyperlink"/>
                <w:rFonts w:ascii="Times New Roman" w:hAnsi="Times New Roman" w:cs="Times New Roman"/>
                <w:color w:val="auto"/>
                <w:sz w:val="24"/>
                <w:szCs w:val="24"/>
                <w:u w:val="none"/>
              </w:rPr>
              <w:t>The 2018 revision of this Recommendation up-versions the UML model tool to Papyrus v3.2.0 and the profile to 0.2.13. Updates the model to add the MEP proactive measurement MI, MEP configuration MI, and MIP configuration MI, add the Spec model for MPLS-TP model, replace the G.8152NE and MT_NE by the MMPLS-TP Constraint Domain, and MT_SubnetworkProtectionGroup specifies the FcSwitch, and MT_CrossConnection specifies the ForwardingConstruct.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83" w:history="1">
              <w:r w:rsidR="00A11163" w:rsidRPr="004567E2">
                <w:rPr>
                  <w:rStyle w:val="Hyperlink"/>
                  <w:rFonts w:ascii="Times New Roman" w:hAnsi="Times New Roman" w:cs="Times New Roman"/>
                  <w:sz w:val="24"/>
                  <w:szCs w:val="24"/>
                </w:rPr>
                <w:t xml:space="preserve">Recommendation ITU-T G.8201 “Error performance parameters and objectives for </w:t>
              </w:r>
              <w:r w:rsidR="00A11163" w:rsidRPr="004567E2">
                <w:rPr>
                  <w:rStyle w:val="Hyperlink"/>
                  <w:rFonts w:ascii="Times New Roman" w:hAnsi="Times New Roman" w:cs="Times New Roman"/>
                  <w:sz w:val="24"/>
                  <w:szCs w:val="24"/>
                </w:rPr>
                <w:lastRenderedPageBreak/>
                <w:t>multi-operator international paths within optical transport networks”</w:t>
              </w:r>
            </w:hyperlink>
            <w:r w:rsidR="00A11163" w:rsidRPr="004567E2">
              <w:rPr>
                <w:rFonts w:ascii="Times New Roman" w:hAnsi="Times New Roman" w:cs="Times New Roman"/>
                <w:sz w:val="24"/>
                <w:szCs w:val="24"/>
              </w:rPr>
              <w:t xml:space="preserve"> defines error performance parameters and objectives for international ODUk paths transported by the Optical Transport Network (OTN) as described in Recommendation ITU-T G.709/Y.1331. While this Recommendation specifically addresses objectives for international ODUk paths, the allocation principles can be applied to the design of error performance for national or private ODUk paths. This Recommendation is based upon a block-based measurement concept using error detection code (EDC) and EDC usage inherent to the path under test; the block repetition rate being in accordance with OTN technology in accordance with Recommendation ITU-T G.709/Y.1331. This simplifies in-service measurements. The events, parameters and objectives are defined accordingly. In addition to path performance assessment, tandem connection monitoring is covered.</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84" w:tooltip="The control of jitter and wander within the optical transport network (OTN)" w:history="1">
              <w:r w:rsidR="00A11163" w:rsidRPr="004567E2">
                <w:rPr>
                  <w:rStyle w:val="Hyperlink"/>
                  <w:rFonts w:ascii="Times New Roman" w:hAnsi="Times New Roman" w:cs="Times New Roman"/>
                  <w:sz w:val="24"/>
                  <w:szCs w:val="24"/>
                </w:rPr>
                <w:t>Recommendation ITU-T G.8251 “The control of jitter and wander within the optical transport network (OTN)”</w:t>
              </w:r>
            </w:hyperlink>
            <w:r w:rsidR="00A11163" w:rsidRPr="004567E2">
              <w:rPr>
                <w:rFonts w:ascii="Times New Roman" w:hAnsi="Times New Roman" w:cs="Times New Roman"/>
                <w:sz w:val="24"/>
                <w:szCs w:val="24"/>
              </w:rPr>
              <w:t xml:space="preserve"> specifies the maximum network limits of jitter and wander that shall not be exceeded and the minimum equipment tolerance to jitter and wander that shall be provided at any relevant interfaces which are based on the optical transport network (OTN).The requirements for the jitter and wander characteristics that are specified in this Recommendation must be adhered to in order to ensure interoperability of equipment produced by different manufacturers and a satisfactory network performance.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85" w:tooltip="Definitions and terminology for synchronization in packet networks" w:history="1">
              <w:r w:rsidR="00A11163" w:rsidRPr="004567E2">
                <w:rPr>
                  <w:rStyle w:val="Hyperlink"/>
                  <w:rFonts w:ascii="Times New Roman" w:hAnsi="Times New Roman" w:cs="Times New Roman"/>
                  <w:sz w:val="24"/>
                  <w:szCs w:val="24"/>
                </w:rPr>
                <w:t>Recommendation ITU-T G.8260 “Definitions and terminology for synchronization in packet networks”</w:t>
              </w:r>
            </w:hyperlink>
            <w:r w:rsidR="00A11163" w:rsidRPr="004567E2">
              <w:rPr>
                <w:rFonts w:ascii="Times New Roman" w:hAnsi="Times New Roman" w:cs="Times New Roman"/>
                <w:sz w:val="24"/>
                <w:szCs w:val="24"/>
              </w:rPr>
              <w:t xml:space="preserve"> provides the definitions, terminology and abbreviations used in ITU-T Recommendations on timing and synchronization in packet networks.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sz w:val="24"/>
                <w:szCs w:val="24"/>
              </w:rPr>
              <w:t xml:space="preserve">Recommendation ITU-T G.8260 (2015) Amd.2 “Definitions and terminology for synchronization in packet networks: Amendment 2” </w:t>
            </w:r>
            <w:r w:rsidRPr="004567E2">
              <w:rPr>
                <w:rStyle w:val="Hyperlink"/>
                <w:rFonts w:ascii="Times New Roman" w:hAnsi="Times New Roman" w:cs="Times New Roman"/>
                <w:color w:val="auto"/>
                <w:sz w:val="24"/>
                <w:szCs w:val="24"/>
                <w:u w:val="none"/>
              </w:rPr>
              <w:t>provides the following update:</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w:t>
            </w:r>
            <w:r w:rsidRPr="004567E2">
              <w:rPr>
                <w:rStyle w:val="Hyperlink"/>
                <w:rFonts w:ascii="Times New Roman" w:hAnsi="Times New Roman" w:cs="Times New Roman"/>
                <w:color w:val="auto"/>
                <w:sz w:val="24"/>
                <w:szCs w:val="24"/>
                <w:u w:val="none"/>
              </w:rPr>
              <w:tab/>
              <w:t>Added definition of relative time error in clause 3.1.24</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w:t>
            </w:r>
            <w:r w:rsidRPr="004567E2">
              <w:rPr>
                <w:rStyle w:val="Hyperlink"/>
                <w:rFonts w:ascii="Times New Roman" w:hAnsi="Times New Roman" w:cs="Times New Roman"/>
                <w:color w:val="auto"/>
                <w:sz w:val="24"/>
                <w:szCs w:val="24"/>
                <w:u w:val="none"/>
              </w:rPr>
              <w:tab/>
              <w:t>Addition of clause I.3.1.4 to Appendix I describing packet selection windows</w:t>
            </w:r>
          </w:p>
          <w:p w:rsidR="00A11163" w:rsidRPr="004567E2" w:rsidRDefault="00A11163" w:rsidP="00A11163">
            <w:pPr>
              <w:widowControl w:val="0"/>
              <w:rPr>
                <w:rStyle w:val="Hyperlink"/>
                <w:rFonts w:ascii="Times New Roman" w:hAnsi="Times New Roman" w:cs="Times New Roman"/>
                <w:sz w:val="24"/>
                <w:szCs w:val="24"/>
              </w:rPr>
            </w:pPr>
            <w:r w:rsidRPr="004567E2">
              <w:rPr>
                <w:rStyle w:val="Hyperlink"/>
                <w:rFonts w:ascii="Times New Roman" w:hAnsi="Times New Roman" w:cs="Times New Roman"/>
                <w:color w:val="auto"/>
                <w:sz w:val="24"/>
                <w:szCs w:val="24"/>
                <w:u w:val="none"/>
              </w:rPr>
              <w:t>−</w:t>
            </w:r>
            <w:r w:rsidRPr="004567E2">
              <w:rPr>
                <w:rStyle w:val="Hyperlink"/>
                <w:rFonts w:ascii="Times New Roman" w:hAnsi="Times New Roman" w:cs="Times New Roman"/>
                <w:color w:val="auto"/>
                <w:sz w:val="24"/>
                <w:szCs w:val="24"/>
                <w:u w:val="none"/>
              </w:rPr>
              <w:tab/>
              <w:t>Modification to clause I.5 to align with terminology in clause I.3.1.4</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86" w:tooltip="Timing and synchronization aspects in packet networks" w:history="1">
              <w:r w:rsidR="00A11163" w:rsidRPr="004567E2">
                <w:rPr>
                  <w:rStyle w:val="Hyperlink"/>
                  <w:rFonts w:ascii="Times New Roman" w:hAnsi="Times New Roman" w:cs="Times New Roman"/>
                  <w:sz w:val="24"/>
                  <w:szCs w:val="24"/>
                </w:rPr>
                <w:t>Recommendation ITU-T G.8261/Y.1361 “Timing and synchronization aspects in packet networks”</w:t>
              </w:r>
            </w:hyperlink>
            <w:r w:rsidR="00A11163" w:rsidRPr="004567E2">
              <w:rPr>
                <w:rFonts w:ascii="Times New Roman" w:hAnsi="Times New Roman" w:cs="Times New Roman"/>
                <w:sz w:val="24"/>
                <w:szCs w:val="24"/>
              </w:rPr>
              <w:t xml:space="preserve"> defines frequency synchronization aspects in packet networks. It specifies the maximum network limits of jitter and wander that shall not be exceeded. It specifies the minimum equipment tolerance to jitter and wander that shall be provided at the boundary of these packet networks at TDM and synchronization interfaces. It also outlines the minimum requirements for the synchronization function of network elements.</w:t>
            </w:r>
            <w:r w:rsidR="00A11163" w:rsidRPr="004567E2">
              <w:rPr>
                <w:rFonts w:ascii="Times New Roman" w:hAnsi="Times New Roman" w:cs="Times New Roman"/>
                <w:sz w:val="24"/>
                <w:szCs w:val="24"/>
              </w:rPr>
              <w:br/>
              <w:t>The requirements for the jitter and wander characteristics that are specified in this Recommendation must be adhered to in order to ensure interoperability of equipment produced by different manufacturers and a satisfactory network performance.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87" w:tooltip="Timing characteristics of a synchronous Ethernet equipment slave clock" w:history="1">
              <w:r w:rsidR="00A11163" w:rsidRPr="004567E2">
                <w:rPr>
                  <w:rStyle w:val="Hyperlink"/>
                  <w:rFonts w:ascii="Times New Roman" w:hAnsi="Times New Roman" w:cs="Times New Roman"/>
                  <w:sz w:val="24"/>
                  <w:szCs w:val="24"/>
                </w:rPr>
                <w:t>Recommendation ITU-T G.8262/Y.1362 “Timing characteristics of a synchronous Ethernet equipment slave clock”</w:t>
              </w:r>
            </w:hyperlink>
            <w:r w:rsidR="00A11163" w:rsidRPr="004567E2">
              <w:rPr>
                <w:rFonts w:ascii="Times New Roman" w:hAnsi="Times New Roman" w:cs="Times New Roman"/>
                <w:sz w:val="24"/>
                <w:szCs w:val="24"/>
              </w:rPr>
              <w:t xml:space="preserve"> outlines requirements for timing devices used in synchronizing network equipments that use synchronous Ethernet. This Recommendation defines the requirements for clocks, e.g., bandwidth, frequency accuracy, holdover and noise generation.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88" w:tooltip="Timing characteristics of packet-based equipment clocks" w:history="1">
              <w:r w:rsidR="00A11163" w:rsidRPr="004567E2">
                <w:rPr>
                  <w:rStyle w:val="Hyperlink"/>
                  <w:rFonts w:ascii="Times New Roman" w:hAnsi="Times New Roman" w:cs="Times New Roman"/>
                  <w:sz w:val="24"/>
                  <w:szCs w:val="24"/>
                </w:rPr>
                <w:t>Recommendation ITU-T G.8263/Y.1363 “Timing characteristics of packet-based equipment clocks”</w:t>
              </w:r>
            </w:hyperlink>
            <w:r w:rsidR="00A11163" w:rsidRPr="004567E2">
              <w:rPr>
                <w:rFonts w:ascii="Times New Roman" w:hAnsi="Times New Roman" w:cs="Times New Roman"/>
                <w:sz w:val="24"/>
                <w:szCs w:val="24"/>
              </w:rPr>
              <w:t xml:space="preserve"> outlines requirements for timing devices used in synchronizing network equipment that operates in the interworking function (IWF) and other network elements as defined in Recommendation ITU-T G.8261/Y.1361. This Recommendation defines the requirements for packet-based equipment clocks.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89" w:tooltip="Distribution of timing information through packet networks" w:history="1">
              <w:r w:rsidR="00A11163" w:rsidRPr="004567E2">
                <w:rPr>
                  <w:rStyle w:val="Hyperlink"/>
                  <w:rFonts w:ascii="Times New Roman" w:hAnsi="Times New Roman" w:cs="Times New Roman"/>
                  <w:sz w:val="24"/>
                  <w:szCs w:val="24"/>
                </w:rPr>
                <w:t>Recommendation ITU-T G.8264/Y.1364 “Distribution of timing information through packet networks”</w:t>
              </w:r>
            </w:hyperlink>
            <w:r w:rsidR="00A11163" w:rsidRPr="004567E2">
              <w:rPr>
                <w:rFonts w:ascii="Times New Roman" w:hAnsi="Times New Roman" w:cs="Times New Roman"/>
                <w:sz w:val="24"/>
                <w:szCs w:val="24"/>
              </w:rPr>
              <w:t xml:space="preserve"> outlines aspects of distribution of timing information through packet networks and initially focuses on Ethernet networks. A number of methods may be used to transfer frequency which may be physical-layer based or protocol-layer based. This Recommendation provides information on architectural aspects of timing flows in Ethernet networks which will form the basis for future work related to time and phase transfer.</w:t>
            </w:r>
            <w:r w:rsidR="00A11163" w:rsidRPr="004567E2">
              <w:rPr>
                <w:rFonts w:ascii="Times New Roman" w:hAnsi="Times New Roman" w:cs="Times New Roman"/>
                <w:sz w:val="24"/>
                <w:szCs w:val="24"/>
              </w:rPr>
              <w:br/>
              <w:t xml:space="preserve">This Recommendation specifies the synchronization status message (SSM) </w:t>
            </w:r>
            <w:r w:rsidR="00A11163" w:rsidRPr="004567E2">
              <w:rPr>
                <w:rFonts w:ascii="Times New Roman" w:hAnsi="Times New Roman" w:cs="Times New Roman"/>
                <w:sz w:val="24"/>
                <w:szCs w:val="24"/>
              </w:rPr>
              <w:lastRenderedPageBreak/>
              <w:t>protocol and formats for use with synchronous Ethernet. Adherence to the SSM formats specified in this Recommendation is required in order to ensure interoperability between synchronous Ethernet equipment involved in frequency transfer.</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90" w:history="1">
              <w:r w:rsidR="00A11163" w:rsidRPr="004567E2">
                <w:rPr>
                  <w:rStyle w:val="Hyperlink"/>
                  <w:rFonts w:ascii="Times New Roman" w:hAnsi="Times New Roman" w:cs="Times New Roman"/>
                  <w:sz w:val="24"/>
                  <w:szCs w:val="24"/>
                </w:rPr>
                <w:t>Recommendation ITU-T G.8264/Y.1364 (2017) Amd.1 “Distribution of timing information through packet networks - Amendment 1”</w:t>
              </w:r>
            </w:hyperlink>
            <w:r w:rsidR="00A11163" w:rsidRPr="004567E2">
              <w:rPr>
                <w:rFonts w:ascii="Times New Roman" w:hAnsi="Times New Roman" w:cs="Times New Roman"/>
                <w:sz w:val="24"/>
                <w:szCs w:val="24"/>
              </w:rPr>
              <w:t xml:space="preserve"> makes changes to incorporate the Enhanced Primary Reference Clock (ePRC) into the tables of SSM codes for Synchronous Ethernet.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91" w:tooltip="Architecture and requirements for packet-based frequency delivery" w:history="1">
              <w:r w:rsidR="00A11163" w:rsidRPr="004567E2">
                <w:rPr>
                  <w:rStyle w:val="Hyperlink"/>
                  <w:rFonts w:ascii="Times New Roman" w:hAnsi="Times New Roman" w:cs="Times New Roman"/>
                  <w:sz w:val="24"/>
                  <w:szCs w:val="24"/>
                </w:rPr>
                <w:t>Recommendation ITU-T G.8265 “Architecture and requirements for packet-based frequency delivery”</w:t>
              </w:r>
            </w:hyperlink>
            <w:r w:rsidR="00A11163" w:rsidRPr="004567E2">
              <w:rPr>
                <w:rFonts w:ascii="Times New Roman" w:hAnsi="Times New Roman" w:cs="Times New Roman"/>
                <w:sz w:val="24"/>
                <w:szCs w:val="24"/>
              </w:rPr>
              <w:t xml:space="preserve"> describes the architecture and requirements for packet-based frequency distribution in telecom networks. Examples of packet-based frequency distribution include the network time protocol (NTP) and IEEE-1588-2008, briefly described here. Details necessary to utilize IEEE-1588-2008 in a manner consistent with the architecture are defined in other Recommendations.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92" w:tooltip="Precision time protocol telecom profile for frequency synchronization" w:history="1">
              <w:r w:rsidR="00A11163" w:rsidRPr="004567E2">
                <w:rPr>
                  <w:rStyle w:val="Hyperlink"/>
                  <w:rFonts w:ascii="Times New Roman" w:hAnsi="Times New Roman" w:cs="Times New Roman"/>
                  <w:sz w:val="24"/>
                  <w:szCs w:val="24"/>
                </w:rPr>
                <w:t>Recommendation ITU-T G.8265.1 “Precision time protocol telecom profile for frequency synchronization”</w:t>
              </w:r>
            </w:hyperlink>
            <w:r w:rsidR="00A11163" w:rsidRPr="004567E2">
              <w:rPr>
                <w:rFonts w:ascii="Times New Roman" w:hAnsi="Times New Roman" w:cs="Times New Roman"/>
                <w:sz w:val="24"/>
                <w:szCs w:val="24"/>
              </w:rPr>
              <w:t xml:space="preserve"> contains the ITU-T precision time protocol (PTP) profile for frequency distribution without timing support from the network (unicast mode). It provides the necessary details to utilize IEEE 1588 in a manner consistent with the architecture described in Recommendation ITU-T G.8265/Y.1365. This edition of the Recommendation defines the PTP profile for unicast mode only. Future editions of the Recommendation will contain a separate profile for a mixed unicast/multicast case.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493" w:tooltip="Timing characteristics of telecom grandmaster clocks for frequency synchronization" w:history="1">
              <w:r w:rsidR="00A11163" w:rsidRPr="004567E2">
                <w:rPr>
                  <w:rStyle w:val="Hyperlink"/>
                  <w:rFonts w:ascii="Times New Roman" w:hAnsi="Times New Roman" w:cs="Times New Roman"/>
                  <w:sz w:val="24"/>
                  <w:szCs w:val="24"/>
                </w:rPr>
                <w:t>Recommendation ITU-T G.8266/Y.1376 “Timing characteristics of telecom grandmaster clocks for frequency synchronization”</w:t>
              </w:r>
            </w:hyperlink>
            <w:r w:rsidR="00A11163" w:rsidRPr="004567E2">
              <w:rPr>
                <w:rFonts w:ascii="Times New Roman" w:hAnsi="Times New Roman" w:cs="Times New Roman"/>
                <w:sz w:val="24"/>
                <w:szCs w:val="24"/>
              </w:rPr>
              <w:t xml:space="preserve"> specifies the requirements for packet master clocks suitable for frequency synchronization in packet networks.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94" w:history="1">
              <w:r w:rsidR="00A11163" w:rsidRPr="004567E2">
                <w:rPr>
                  <w:rStyle w:val="Hyperlink"/>
                  <w:rFonts w:ascii="Times New Roman" w:hAnsi="Times New Roman" w:cs="Times New Roman"/>
                  <w:sz w:val="24"/>
                  <w:szCs w:val="24"/>
                </w:rPr>
                <w:t>Recommendation ITU-T G.8266/Y.1376 (2016) Amd.1 “Timing characteristics of telecom grandmaster clocks for frequency synchronization - Amendment 1”</w:t>
              </w:r>
            </w:hyperlink>
            <w:r w:rsidR="00A11163" w:rsidRPr="004567E2">
              <w:rPr>
                <w:rFonts w:ascii="Times New Roman" w:hAnsi="Times New Roman" w:cs="Times New Roman"/>
                <w:sz w:val="24"/>
                <w:szCs w:val="24"/>
              </w:rPr>
              <w:t xml:space="preserve"> provides the following updates:</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Changes the scope to include the GM with embedded PRTC</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lastRenderedPageBreak/>
              <w:t>-</w:t>
            </w:r>
            <w:r w:rsidRPr="004567E2">
              <w:rPr>
                <w:rFonts w:ascii="Times New Roman" w:hAnsi="Times New Roman" w:cs="Times New Roman"/>
                <w:sz w:val="24"/>
                <w:szCs w:val="24"/>
              </w:rPr>
              <w:tab/>
              <w:t>Changes Clause 8.1 to account for the GM with embedded PRTC</w:t>
            </w:r>
          </w:p>
          <w:p w:rsidR="00A11163" w:rsidRPr="004567E2" w:rsidRDefault="00A11163" w:rsidP="00A11163">
            <w:pPr>
              <w:pStyle w:val="ListParagraph"/>
              <w:ind w:left="0"/>
              <w:contextualSpacing w:val="0"/>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w:t>
            </w:r>
            <w:r w:rsidRPr="004567E2">
              <w:rPr>
                <w:rFonts w:ascii="Times New Roman" w:hAnsi="Times New Roman" w:cs="Times New Roman"/>
                <w:sz w:val="24"/>
                <w:szCs w:val="24"/>
              </w:rPr>
              <w:tab/>
              <w:t>Replaces text and provides additional material to Appendix I.</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495" w:tooltip="Time and phase synchronization aspects of packet networks" w:history="1">
              <w:r w:rsidR="00A11163" w:rsidRPr="004567E2">
                <w:rPr>
                  <w:rStyle w:val="Hyperlink"/>
                  <w:rFonts w:ascii="Times New Roman" w:hAnsi="Times New Roman" w:cs="Times New Roman"/>
                  <w:sz w:val="24"/>
                  <w:szCs w:val="24"/>
                </w:rPr>
                <w:t>Recommendation ITU-T G.8271/Y.1366 “Time and phase synchronization aspects of packet networks”</w:t>
              </w:r>
            </w:hyperlink>
            <w:r w:rsidR="00A11163" w:rsidRPr="004567E2">
              <w:rPr>
                <w:rFonts w:ascii="Times New Roman" w:hAnsi="Times New Roman" w:cs="Times New Roman"/>
                <w:sz w:val="24"/>
                <w:szCs w:val="24"/>
              </w:rPr>
              <w:t xml:space="preserve"> specifies the maximum network limits of phase and time error that shall not be exceeded. It specifies the minimum equipment tolerance to phase and time error that shall be provided at the boundary of packet networks at phase and time synchronization interfaces. It also outlines the minimum requirements for the synchronization function of network elements. This Recommendation addresses the case of time and phase distribution across a network with packet-based method with full timing support to the protocol level from the network.</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96" w:history="1">
              <w:r w:rsidR="00A11163" w:rsidRPr="004567E2">
                <w:rPr>
                  <w:rStyle w:val="Hyperlink"/>
                  <w:rFonts w:ascii="Times New Roman" w:hAnsi="Times New Roman" w:cs="Times New Roman"/>
                  <w:sz w:val="24"/>
                  <w:szCs w:val="24"/>
                </w:rPr>
                <w:t>Recommendation ITU-T G.8271/Y.1366 (2016) Amd.1 “Time and phase synchronization aspects of telecommunications networks: Amendment 1”</w:t>
              </w:r>
            </w:hyperlink>
            <w:r w:rsidR="00A11163" w:rsidRPr="004567E2">
              <w:rPr>
                <w:rFonts w:ascii="Times New Roman" w:hAnsi="Times New Roman" w:cs="Times New Roman"/>
                <w:sz w:val="24"/>
                <w:szCs w:val="24"/>
              </w:rPr>
              <w:t xml:space="preserve"> provides the following updates:</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Updated Title and Scope</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Updated Conventions clause</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Updated Table 1 and addition of Table 2, describing applications for high-accuracy time synchronization</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Revised notes in clause 7 and 7.1</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Revised clause 8, updating reference point descriptions</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Correction to the definition of the FCS field in the serial communication channel</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Replacement of Table A.7 with a new version and associated notes</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Revision to Tables II.1 and II.2 of Appendix II</w:t>
            </w:r>
          </w:p>
          <w:p w:rsidR="00A11163" w:rsidRPr="004567E2" w:rsidRDefault="00A11163" w:rsidP="00A11163">
            <w:pPr>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w:t>
            </w:r>
            <w:r w:rsidRPr="004567E2">
              <w:rPr>
                <w:rFonts w:ascii="Times New Roman" w:hAnsi="Times New Roman" w:cs="Times New Roman"/>
                <w:sz w:val="24"/>
                <w:szCs w:val="24"/>
              </w:rPr>
              <w:tab/>
              <w:t>Correction to Appendix V.</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97" w:history="1">
              <w:r w:rsidR="00A11163" w:rsidRPr="004567E2">
                <w:rPr>
                  <w:rStyle w:val="Hyperlink"/>
                  <w:rFonts w:ascii="Times New Roman" w:hAnsi="Times New Roman" w:cs="Times New Roman"/>
                  <w:sz w:val="24"/>
                  <w:szCs w:val="24"/>
                </w:rPr>
                <w:t>Recommendation ITU-T G.8271.1/Y.1366.1 (2017) Amd.1 “Network limits for time synchronization in Packet networks - Amendment 1”</w:t>
              </w:r>
            </w:hyperlink>
            <w:r w:rsidR="00A11163" w:rsidRPr="004567E2">
              <w:rPr>
                <w:rFonts w:ascii="Times New Roman" w:hAnsi="Times New Roman" w:cs="Times New Roman"/>
                <w:sz w:val="24"/>
                <w:szCs w:val="24"/>
              </w:rPr>
              <w:t xml:space="preserve"> provides the following updates:</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Changes to clause 7 (Network Limits)</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Minor enhancements to Appendix III</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lastRenderedPageBreak/>
              <w:t>−</w:t>
            </w:r>
            <w:r w:rsidRPr="004567E2">
              <w:rPr>
                <w:rFonts w:ascii="Times New Roman" w:hAnsi="Times New Roman" w:cs="Times New Roman"/>
                <w:sz w:val="24"/>
                <w:szCs w:val="24"/>
              </w:rPr>
              <w:tab/>
              <w:t>Amendment to Appendix V</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Replacement of Appendix VII</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Replacement of Figure IX.1</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Addition of new Appendix X</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Addition of new Appendix XI</w:t>
            </w:r>
          </w:p>
          <w:p w:rsidR="00A11163" w:rsidRPr="004567E2" w:rsidRDefault="00A11163" w:rsidP="00A11163">
            <w:pPr>
              <w:pStyle w:val="ListParagraph"/>
              <w:ind w:left="0"/>
              <w:contextualSpacing w:val="0"/>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w:t>
            </w:r>
            <w:r w:rsidRPr="004567E2">
              <w:rPr>
                <w:rFonts w:ascii="Times New Roman" w:hAnsi="Times New Roman" w:cs="Times New Roman"/>
                <w:sz w:val="24"/>
                <w:szCs w:val="24"/>
              </w:rPr>
              <w:tab/>
              <w:t>Addition of a Bibliography.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498" w:history="1">
              <w:r w:rsidR="00A11163" w:rsidRPr="004567E2">
                <w:rPr>
                  <w:rStyle w:val="Hyperlink"/>
                  <w:rFonts w:ascii="Times New Roman" w:hAnsi="Times New Roman" w:cs="Times New Roman"/>
                  <w:sz w:val="24"/>
                  <w:szCs w:val="24"/>
                </w:rPr>
                <w:t>Recommendation ITU-T G.8271 (2017) Amd.1 “Time and phase synchronization aspects of telecommunication networks - Amendment 1”</w:t>
              </w:r>
            </w:hyperlink>
            <w:r w:rsidR="00A11163" w:rsidRPr="004567E2">
              <w:rPr>
                <w:rFonts w:ascii="Times New Roman" w:hAnsi="Times New Roman" w:cs="Times New Roman"/>
                <w:sz w:val="24"/>
                <w:szCs w:val="24"/>
              </w:rPr>
              <w:t xml:space="preserve"> (under approval) provides the following update:</w:t>
            </w:r>
          </w:p>
          <w:p w:rsidR="00A11163" w:rsidRPr="004567E2" w:rsidRDefault="00A11163" w:rsidP="00A11163">
            <w:pPr>
              <w:pStyle w:val="ListParagraph"/>
              <w:ind w:left="0"/>
              <w:contextualSpacing w:val="0"/>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w:t>
            </w:r>
            <w:r w:rsidRPr="004567E2">
              <w:rPr>
                <w:rFonts w:ascii="Times New Roman" w:hAnsi="Times New Roman" w:cs="Times New Roman"/>
                <w:sz w:val="24"/>
                <w:szCs w:val="24"/>
              </w:rPr>
              <w:tab/>
              <w:t>Addition to Appendix IV on network asymmetry.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sz w:val="24"/>
                <w:szCs w:val="24"/>
              </w:rPr>
              <w:t xml:space="preserve">Recommendation ITU-T G.8271 Amd 2 “Time and phase synchronization aspects of packet networks: Amendment 2” (under approval) </w:t>
            </w:r>
            <w:r w:rsidRPr="004567E2">
              <w:rPr>
                <w:rStyle w:val="Hyperlink"/>
                <w:rFonts w:ascii="Times New Roman" w:hAnsi="Times New Roman" w:cs="Times New Roman"/>
                <w:color w:val="auto"/>
                <w:sz w:val="24"/>
                <w:szCs w:val="24"/>
                <w:u w:val="none"/>
              </w:rPr>
              <w:t>provides the following updates:</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w:t>
            </w:r>
            <w:r w:rsidRPr="004567E2">
              <w:rPr>
                <w:rStyle w:val="Hyperlink"/>
                <w:rFonts w:ascii="Times New Roman" w:hAnsi="Times New Roman" w:cs="Times New Roman"/>
                <w:color w:val="auto"/>
                <w:sz w:val="24"/>
                <w:szCs w:val="24"/>
                <w:u w:val="none"/>
              </w:rPr>
              <w:tab/>
              <w:t>Added abbreviations and acronyms</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w:t>
            </w:r>
            <w:r w:rsidRPr="004567E2">
              <w:rPr>
                <w:rStyle w:val="Hyperlink"/>
                <w:rFonts w:ascii="Times New Roman" w:hAnsi="Times New Roman" w:cs="Times New Roman"/>
                <w:color w:val="auto"/>
                <w:sz w:val="24"/>
                <w:szCs w:val="24"/>
                <w:u w:val="none"/>
              </w:rPr>
              <w:tab/>
              <w:t>Replaced Tables 1 and 2</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w:t>
            </w:r>
            <w:r w:rsidRPr="004567E2">
              <w:rPr>
                <w:rStyle w:val="Hyperlink"/>
                <w:rFonts w:ascii="Times New Roman" w:hAnsi="Times New Roman" w:cs="Times New Roman"/>
                <w:color w:val="auto"/>
                <w:sz w:val="24"/>
                <w:szCs w:val="24"/>
                <w:u w:val="none"/>
              </w:rPr>
              <w:tab/>
              <w:t>Enhanced description of FCS field in Annex A.1.3.2</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w:t>
            </w:r>
            <w:r w:rsidRPr="004567E2">
              <w:rPr>
                <w:rStyle w:val="Hyperlink"/>
                <w:rFonts w:ascii="Times New Roman" w:hAnsi="Times New Roman" w:cs="Times New Roman"/>
                <w:color w:val="auto"/>
                <w:sz w:val="24"/>
                <w:szCs w:val="24"/>
                <w:u w:val="none"/>
              </w:rPr>
              <w:tab/>
              <w:t>Replaced Table A.7</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w:t>
            </w:r>
            <w:r w:rsidRPr="004567E2">
              <w:rPr>
                <w:rStyle w:val="Hyperlink"/>
                <w:rFonts w:ascii="Times New Roman" w:hAnsi="Times New Roman" w:cs="Times New Roman"/>
                <w:color w:val="auto"/>
                <w:sz w:val="24"/>
                <w:szCs w:val="24"/>
                <w:u w:val="none"/>
              </w:rPr>
              <w:tab/>
              <w:t>Added text to clause I.7.2</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w:t>
            </w:r>
            <w:r w:rsidRPr="004567E2">
              <w:rPr>
                <w:rStyle w:val="Hyperlink"/>
                <w:rFonts w:ascii="Times New Roman" w:hAnsi="Times New Roman" w:cs="Times New Roman"/>
                <w:color w:val="auto"/>
                <w:sz w:val="24"/>
                <w:szCs w:val="24"/>
                <w:u w:val="none"/>
              </w:rPr>
              <w:tab/>
              <w:t>Replaced Table II.1</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w:t>
            </w:r>
            <w:r w:rsidRPr="004567E2">
              <w:rPr>
                <w:rStyle w:val="Hyperlink"/>
                <w:rFonts w:ascii="Times New Roman" w:hAnsi="Times New Roman" w:cs="Times New Roman"/>
                <w:color w:val="auto"/>
                <w:sz w:val="24"/>
                <w:szCs w:val="24"/>
                <w:u w:val="none"/>
              </w:rPr>
              <w:tab/>
              <w:t>Replaced Table II.2</w:t>
            </w:r>
          </w:p>
          <w:p w:rsidR="00A11163" w:rsidRPr="004567E2" w:rsidRDefault="00A11163" w:rsidP="00A11163">
            <w:pPr>
              <w:widowControl w:val="0"/>
              <w:rPr>
                <w:rStyle w:val="Hyperlink"/>
                <w:rFonts w:ascii="Times New Roman" w:hAnsi="Times New Roman" w:cs="Times New Roman"/>
                <w:sz w:val="24"/>
                <w:szCs w:val="24"/>
              </w:rPr>
            </w:pPr>
            <w:r w:rsidRPr="004567E2">
              <w:rPr>
                <w:rStyle w:val="Hyperlink"/>
                <w:rFonts w:ascii="Times New Roman" w:hAnsi="Times New Roman" w:cs="Times New Roman"/>
                <w:color w:val="auto"/>
                <w:sz w:val="24"/>
                <w:szCs w:val="24"/>
                <w:u w:val="none"/>
              </w:rPr>
              <w:t>−</w:t>
            </w:r>
            <w:r w:rsidRPr="004567E2">
              <w:rPr>
                <w:rStyle w:val="Hyperlink"/>
                <w:rFonts w:ascii="Times New Roman" w:hAnsi="Times New Roman" w:cs="Times New Roman"/>
                <w:color w:val="auto"/>
                <w:sz w:val="24"/>
                <w:szCs w:val="24"/>
                <w:u w:val="none"/>
              </w:rPr>
              <w:tab/>
              <w:t>Added references to the Bibliography.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499" w:tooltip="Network limits for time synchronization in packet networks" w:history="1">
              <w:r w:rsidR="00A11163" w:rsidRPr="004567E2">
                <w:rPr>
                  <w:rStyle w:val="Hyperlink"/>
                  <w:rFonts w:ascii="Times New Roman" w:hAnsi="Times New Roman" w:cs="Times New Roman"/>
                  <w:sz w:val="24"/>
                  <w:szCs w:val="24"/>
                </w:rPr>
                <w:t>Recommendation ITU-T G.8271.1/Y.1366.1 “Network limits for time synchronization in packet networks”</w:t>
              </w:r>
            </w:hyperlink>
            <w:r w:rsidR="00A11163" w:rsidRPr="004567E2">
              <w:rPr>
                <w:rFonts w:ascii="Times New Roman" w:hAnsi="Times New Roman" w:cs="Times New Roman"/>
                <w:sz w:val="24"/>
                <w:szCs w:val="24"/>
              </w:rPr>
              <w:t xml:space="preserve"> specifies the maximum network limits of phase and time error that shall not be exceeded. It specifies the minimum equipment tolerance to phase and time error that shall be provided at the boundary of packet networks at phase and time synchronization interfaces. It also outlines the minimum requirements for the synchronization function of network elements.</w:t>
            </w:r>
            <w:r w:rsidR="00A11163" w:rsidRPr="004567E2">
              <w:rPr>
                <w:rFonts w:ascii="Times New Roman" w:hAnsi="Times New Roman" w:cs="Times New Roman"/>
                <w:sz w:val="24"/>
                <w:szCs w:val="24"/>
              </w:rPr>
              <w:br/>
              <w:t xml:space="preserve">This Recommendation addresses the case of time and phase distribution across a network with packet-based method with full timing support to the protocol level </w:t>
            </w:r>
            <w:r w:rsidR="00A11163" w:rsidRPr="004567E2">
              <w:rPr>
                <w:rFonts w:ascii="Times New Roman" w:hAnsi="Times New Roman" w:cs="Times New Roman"/>
                <w:sz w:val="24"/>
                <w:szCs w:val="24"/>
              </w:rPr>
              <w:lastRenderedPageBreak/>
              <w:t>from the network.</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00" w:history="1">
              <w:r w:rsidR="00A11163" w:rsidRPr="004567E2">
                <w:rPr>
                  <w:rStyle w:val="Hyperlink"/>
                  <w:rFonts w:ascii="Times New Roman" w:hAnsi="Times New Roman" w:cs="Times New Roman"/>
                  <w:sz w:val="24"/>
                  <w:szCs w:val="24"/>
                </w:rPr>
                <w:t>Recommendation ITU-T G.8271.2/Y.1366.2 (2017) Amd.1 “Network limits for time synchronization in packet networks with partial timing support from the network - Amendment 1”</w:t>
              </w:r>
            </w:hyperlink>
            <w:r w:rsidR="00A11163" w:rsidRPr="004567E2">
              <w:rPr>
                <w:rFonts w:ascii="Times New Roman" w:hAnsi="Times New Roman" w:cs="Times New Roman"/>
                <w:sz w:val="24"/>
                <w:szCs w:val="24"/>
              </w:rPr>
              <w:t xml:space="preserve"> (under approval) provides the following updates:</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Addition of new acronyms</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Addition of note to clause 7</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Revision of sub-clause 7.3</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Addition of sub-clause 7.4</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Revision of Appendix I</w:t>
            </w:r>
          </w:p>
          <w:p w:rsidR="00A11163" w:rsidRPr="004567E2" w:rsidRDefault="00A11163" w:rsidP="00A11163">
            <w:pPr>
              <w:pStyle w:val="ListParagraph"/>
              <w:ind w:left="0"/>
              <w:contextualSpacing w:val="0"/>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w:t>
            </w:r>
            <w:r w:rsidRPr="004567E2">
              <w:rPr>
                <w:rFonts w:ascii="Times New Roman" w:hAnsi="Times New Roman" w:cs="Times New Roman"/>
                <w:sz w:val="24"/>
                <w:szCs w:val="24"/>
              </w:rPr>
              <w:tab/>
              <w:t>Revision of Appendix II.</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sz w:val="24"/>
                <w:szCs w:val="24"/>
              </w:rPr>
              <w:t xml:space="preserve">Recommendation ITU-T G.8271.2 Amd.2 “Network limits for time synchronization in packet networks with partial timing support from the network: Amendment 2” (under approval) </w:t>
            </w:r>
            <w:r w:rsidRPr="004567E2">
              <w:rPr>
                <w:rStyle w:val="Hyperlink"/>
                <w:rFonts w:ascii="Times New Roman" w:hAnsi="Times New Roman" w:cs="Times New Roman"/>
                <w:color w:val="auto"/>
                <w:sz w:val="24"/>
                <w:szCs w:val="24"/>
                <w:u w:val="none"/>
              </w:rPr>
              <w:t>provides the following updates:</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w:t>
            </w:r>
            <w:r w:rsidRPr="004567E2">
              <w:rPr>
                <w:rStyle w:val="Hyperlink"/>
                <w:rFonts w:ascii="Times New Roman" w:hAnsi="Times New Roman" w:cs="Times New Roman"/>
                <w:color w:val="auto"/>
                <w:sz w:val="24"/>
                <w:szCs w:val="24"/>
                <w:u w:val="none"/>
              </w:rPr>
              <w:tab/>
              <w:t>Replacement of Figure 2</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w:t>
            </w:r>
            <w:r w:rsidRPr="004567E2">
              <w:rPr>
                <w:rStyle w:val="Hyperlink"/>
                <w:rFonts w:ascii="Times New Roman" w:hAnsi="Times New Roman" w:cs="Times New Roman"/>
                <w:color w:val="auto"/>
                <w:sz w:val="24"/>
                <w:szCs w:val="24"/>
                <w:u w:val="none"/>
              </w:rPr>
              <w:tab/>
              <w:t>Addition of text to clauses 7.3.1.1 and 7.3.2.1</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w:t>
            </w:r>
            <w:r w:rsidRPr="004567E2">
              <w:rPr>
                <w:rStyle w:val="Hyperlink"/>
                <w:rFonts w:ascii="Times New Roman" w:hAnsi="Times New Roman" w:cs="Times New Roman"/>
                <w:color w:val="auto"/>
                <w:sz w:val="24"/>
                <w:szCs w:val="24"/>
                <w:u w:val="none"/>
              </w:rPr>
              <w:tab/>
              <w:t>Revision of clauses 7.4.1 and 7.4.2</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w:t>
            </w:r>
            <w:r w:rsidRPr="004567E2">
              <w:rPr>
                <w:rStyle w:val="Hyperlink"/>
                <w:rFonts w:ascii="Times New Roman" w:hAnsi="Times New Roman" w:cs="Times New Roman"/>
                <w:color w:val="auto"/>
                <w:sz w:val="24"/>
                <w:szCs w:val="24"/>
                <w:u w:val="none"/>
              </w:rPr>
              <w:tab/>
              <w:t>Replacement of Figures I.2 and I.4</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w:t>
            </w:r>
            <w:r w:rsidRPr="004567E2">
              <w:rPr>
                <w:rStyle w:val="Hyperlink"/>
                <w:rFonts w:ascii="Times New Roman" w:hAnsi="Times New Roman" w:cs="Times New Roman"/>
                <w:color w:val="auto"/>
                <w:sz w:val="24"/>
                <w:szCs w:val="24"/>
                <w:u w:val="none"/>
              </w:rPr>
              <w:tab/>
              <w:t>Revision of clauses I.3 and I.6</w:t>
            </w:r>
          </w:p>
          <w:p w:rsidR="00A11163" w:rsidRPr="004567E2" w:rsidRDefault="00A11163" w:rsidP="00A11163">
            <w:pPr>
              <w:widowControl w:val="0"/>
              <w:rPr>
                <w:rStyle w:val="Hyperlink"/>
                <w:rFonts w:ascii="Times New Roman" w:hAnsi="Times New Roman" w:cs="Times New Roman"/>
                <w:sz w:val="24"/>
                <w:szCs w:val="24"/>
              </w:rPr>
            </w:pPr>
            <w:r w:rsidRPr="004567E2">
              <w:rPr>
                <w:rStyle w:val="Hyperlink"/>
                <w:rFonts w:ascii="Times New Roman" w:hAnsi="Times New Roman" w:cs="Times New Roman"/>
                <w:color w:val="auto"/>
                <w:sz w:val="24"/>
                <w:szCs w:val="24"/>
                <w:u w:val="none"/>
              </w:rPr>
              <w:t>−</w:t>
            </w:r>
            <w:r w:rsidRPr="004567E2">
              <w:rPr>
                <w:rStyle w:val="Hyperlink"/>
                <w:rFonts w:ascii="Times New Roman" w:hAnsi="Times New Roman" w:cs="Times New Roman"/>
                <w:color w:val="auto"/>
                <w:sz w:val="24"/>
                <w:szCs w:val="24"/>
                <w:u w:val="none"/>
              </w:rPr>
              <w:tab/>
              <w:t>Addition of new Appendix IV.</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01" w:history="1">
              <w:r w:rsidR="00A11163" w:rsidRPr="004567E2">
                <w:rPr>
                  <w:rStyle w:val="Hyperlink"/>
                  <w:rFonts w:ascii="Times New Roman" w:hAnsi="Times New Roman" w:cs="Times New Roman"/>
                  <w:sz w:val="24"/>
                  <w:szCs w:val="24"/>
                </w:rPr>
                <w:t>Recommendation ITU-T G.8271.2/Y.1366.2 “Network limits for time synchronization in packet networks with partial timing support from the network”</w:t>
              </w:r>
            </w:hyperlink>
            <w:r w:rsidR="00A11163" w:rsidRPr="004567E2">
              <w:rPr>
                <w:rFonts w:ascii="Times New Roman" w:hAnsi="Times New Roman" w:cs="Times New Roman"/>
                <w:sz w:val="24"/>
                <w:szCs w:val="24"/>
              </w:rPr>
              <w:t xml:space="preserve"> specifies the maximum network limits of phase and time error that shall not be exceeded. It specifies the minimum equipment tolerance to phase and time error that shall be provided at the boundary of these packet networks at phase and time synchronization interfaces. It also outlines the minimum requirements for the synchronization function of network elements.</w:t>
            </w:r>
          </w:p>
          <w:p w:rsidR="00A11163" w:rsidRPr="004567E2" w:rsidRDefault="00A11163" w:rsidP="00A11163">
            <w:pPr>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This Recommendation addresses the case of time and phase distribution across a network with packet-based method with partial timing support to the protocol level from the network.</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02" w:tooltip="Timing characteristics of primary reference time clocks" w:history="1">
              <w:r w:rsidR="00A11163" w:rsidRPr="004567E2">
                <w:rPr>
                  <w:rStyle w:val="Hyperlink"/>
                  <w:rFonts w:ascii="Times New Roman" w:hAnsi="Times New Roman" w:cs="Times New Roman"/>
                  <w:sz w:val="24"/>
                  <w:szCs w:val="24"/>
                </w:rPr>
                <w:t>Recommendation ITU-T G.8272/Y.1367 “Timing characteristics of primary reference time clocks”</w:t>
              </w:r>
            </w:hyperlink>
            <w:r w:rsidR="00A11163" w:rsidRPr="004567E2">
              <w:rPr>
                <w:rFonts w:ascii="Times New Roman" w:hAnsi="Times New Roman" w:cs="Times New Roman"/>
                <w:sz w:val="24"/>
                <w:szCs w:val="24"/>
              </w:rPr>
              <w:t xml:space="preserve"> specifies the requirements for primary reference time clocks (PRTCs) suitable for time, phase and frequency synchronization in packet networks. It defines the error allowed at the time output of the PRTC. These requirements apply under the normal environmental conditions specified for the equipment.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03" w:tooltip="Timing characteristics of enhanced primary reference time clocks" w:history="1">
              <w:r w:rsidR="00A11163" w:rsidRPr="004567E2">
                <w:rPr>
                  <w:rStyle w:val="Hyperlink"/>
                  <w:rFonts w:ascii="Times New Roman" w:hAnsi="Times New Roman" w:cs="Times New Roman"/>
                  <w:sz w:val="24"/>
                  <w:szCs w:val="24"/>
                </w:rPr>
                <w:t>Recommendation ITU-T G.8272.1/Y.1367.1 “Timing characteristics of enhanced primary reference time clocks”</w:t>
              </w:r>
            </w:hyperlink>
            <w:r w:rsidR="00A11163" w:rsidRPr="004567E2">
              <w:rPr>
                <w:rFonts w:ascii="Times New Roman" w:hAnsi="Times New Roman" w:cs="Times New Roman"/>
                <w:sz w:val="24"/>
                <w:szCs w:val="24"/>
              </w:rPr>
              <w:t xml:space="preserve"> specifies the requirements for enhanced primary reference time clocks (ePRTCs) suitable for time and phase synchronization in packet networks. It defines the error allowed at the time output of the ePRTC. These requirements apply under the normal environmental conditions specified for the equipment.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04" w:history="1">
              <w:r w:rsidR="00A11163" w:rsidRPr="004567E2">
                <w:rPr>
                  <w:rStyle w:val="Hyperlink"/>
                  <w:rFonts w:ascii="Times New Roman" w:hAnsi="Times New Roman" w:cs="Times New Roman"/>
                  <w:sz w:val="24"/>
                  <w:szCs w:val="24"/>
                </w:rPr>
                <w:t>Recommendation ITU-T G.8272.1/Y.1367.1 (2016) Amd.1 “Timing characteristics of enhanced primary reference time clocks - Amendment 1”</w:t>
              </w:r>
            </w:hyperlink>
            <w:r w:rsidR="00A11163" w:rsidRPr="004567E2">
              <w:rPr>
                <w:rFonts w:ascii="Times New Roman" w:hAnsi="Times New Roman" w:cs="Times New Roman"/>
                <w:sz w:val="24"/>
                <w:szCs w:val="24"/>
              </w:rPr>
              <w:t xml:space="preserve"> adds a reference, changes a bullet in Clause 6.1, and replaces Annex A.</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05" w:history="1">
              <w:r w:rsidR="00A11163" w:rsidRPr="004567E2">
                <w:rPr>
                  <w:rStyle w:val="Hyperlink"/>
                  <w:rFonts w:ascii="Times New Roman" w:hAnsi="Times New Roman" w:cs="Times New Roman"/>
                  <w:sz w:val="24"/>
                  <w:szCs w:val="24"/>
                </w:rPr>
                <w:t>Recommendation ITU-T G.8273/Y.1368 “Framework of phase and time clocks”</w:t>
              </w:r>
            </w:hyperlink>
            <w:r w:rsidR="00A11163" w:rsidRPr="004567E2">
              <w:rPr>
                <w:rFonts w:ascii="Times New Roman" w:hAnsi="Times New Roman" w:cs="Times New Roman"/>
                <w:sz w:val="24"/>
                <w:szCs w:val="24"/>
              </w:rPr>
              <w:t xml:space="preserve"> is a framework Recommendation for phase and time clocks for devices used in synchronizing network equipment that operate in the network architecture defined in Recommendations ITU-T G.8271, ITU-T G.8275 and the ITU-T G.8271.x series of Recommendations.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06" w:tooltip="Framework of phase and time clocks" w:history="1">
              <w:r w:rsidR="00A11163" w:rsidRPr="004567E2">
                <w:rPr>
                  <w:rStyle w:val="Hyperlink"/>
                  <w:rFonts w:ascii="Times New Roman" w:hAnsi="Times New Roman" w:cs="Times New Roman"/>
                  <w:sz w:val="24"/>
                  <w:szCs w:val="24"/>
                </w:rPr>
                <w:t>Recommendation ITU-T G.8273/Y.1368 “Framework of phase and time clocks”</w:t>
              </w:r>
            </w:hyperlink>
            <w:r w:rsidR="00A11163" w:rsidRPr="004567E2">
              <w:rPr>
                <w:rFonts w:ascii="Times New Roman" w:hAnsi="Times New Roman" w:cs="Times New Roman"/>
                <w:sz w:val="24"/>
                <w:szCs w:val="24"/>
              </w:rPr>
              <w:t xml:space="preserve"> is a framework Recommendation for phase and time clocks for devices used in synchronizing network equipment that operate in the network architecture defined in Recommendations ITU-T G.8271, ITU-T G.8275 and the ITU-T G.8271.x series of Recommendations.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07" w:tooltip="Timing characteristics of telecom boundary clocks and telecom time slave clocks" w:history="1">
              <w:r w:rsidR="00A11163" w:rsidRPr="004567E2">
                <w:rPr>
                  <w:rStyle w:val="Hyperlink"/>
                  <w:rFonts w:ascii="Times New Roman" w:hAnsi="Times New Roman" w:cs="Times New Roman"/>
                  <w:sz w:val="24"/>
                  <w:szCs w:val="24"/>
                </w:rPr>
                <w:t>Recommendation ITU-T G.8273.2/Y.1368.2 “Timing characteristics of telecom boundary clocks and telecom time slave clocks”</w:t>
              </w:r>
            </w:hyperlink>
            <w:r w:rsidR="00A11163" w:rsidRPr="004567E2">
              <w:rPr>
                <w:rFonts w:ascii="Times New Roman" w:hAnsi="Times New Roman" w:cs="Times New Roman"/>
                <w:sz w:val="24"/>
                <w:szCs w:val="24"/>
              </w:rPr>
              <w:t xml:space="preserve"> specifies minimum requirements for time and phase for telecom boundary clocks and telecom time slave clocks used in synchronization network equipment that operates in the network architecture as </w:t>
            </w:r>
            <w:r w:rsidR="00A11163" w:rsidRPr="004567E2">
              <w:rPr>
                <w:rFonts w:ascii="Times New Roman" w:hAnsi="Times New Roman" w:cs="Times New Roman"/>
                <w:sz w:val="24"/>
                <w:szCs w:val="24"/>
              </w:rPr>
              <w:lastRenderedPageBreak/>
              <w:t>defined in Recommendations ITU-T G.8271, ITU-T G.8271.1, ITU-T G.8275 and ITU-T G.8275.1. It supports time and/or phase synchronization distribution for packet based networks.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08" w:history="1">
              <w:r w:rsidR="00A11163" w:rsidRPr="004567E2">
                <w:rPr>
                  <w:rStyle w:val="Hyperlink"/>
                  <w:rFonts w:ascii="Times New Roman" w:hAnsi="Times New Roman" w:cs="Times New Roman"/>
                  <w:sz w:val="24"/>
                  <w:szCs w:val="24"/>
                </w:rPr>
                <w:t>Recommendation ITU-T G.8273.2/Y.1368.2 (2017) Amd.1 “Timing characteristics of telecom boundary clocks and telecom time slave clocks - Amendment 1”</w:t>
              </w:r>
            </w:hyperlink>
            <w:r w:rsidR="00A11163" w:rsidRPr="004567E2">
              <w:rPr>
                <w:rFonts w:ascii="Times New Roman" w:hAnsi="Times New Roman" w:cs="Times New Roman"/>
                <w:sz w:val="24"/>
                <w:szCs w:val="24"/>
              </w:rPr>
              <w:t xml:space="preserve"> adds a paragraph in the Scope, adds a note in Clause 7.1, replaces text in clause 7.3.1, clause 7.4, Annex A, Clause C.2.3.1, Clause C.2.4, Appendix I, Appendix II, and Appendix III. It also adds Appendix VI.</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A11163" w:rsidP="00A11163">
            <w:pPr>
              <w:widowControl w:val="0"/>
              <w:rPr>
                <w:rStyle w:val="Hyperlink"/>
                <w:rFonts w:ascii="Times New Roman" w:hAnsi="Times New Roman" w:cs="Times New Roman"/>
                <w:sz w:val="24"/>
                <w:szCs w:val="24"/>
              </w:rPr>
            </w:pPr>
            <w:r w:rsidRPr="004567E2">
              <w:rPr>
                <w:rStyle w:val="Hyperlink"/>
                <w:rFonts w:ascii="Times New Roman" w:hAnsi="Times New Roman" w:cs="Times New Roman"/>
                <w:sz w:val="24"/>
                <w:szCs w:val="24"/>
              </w:rPr>
              <w:t xml:space="preserve">Recommendation ITU-T G.8273.2/Y.1368.2 Amd.2 “Timing characteristics of telecom boundary clocks and telecom time slave clocks - Amendment 2” (under approval) </w:t>
            </w:r>
            <w:r w:rsidRPr="004567E2">
              <w:rPr>
                <w:rStyle w:val="Hyperlink"/>
                <w:rFonts w:ascii="Times New Roman" w:hAnsi="Times New Roman" w:cs="Times New Roman"/>
                <w:color w:val="auto"/>
                <w:sz w:val="24"/>
                <w:szCs w:val="24"/>
                <w:u w:val="none"/>
              </w:rPr>
              <w:t>replaces text in the Scope, in clauses 2, 4, 7.1, 7.1.1, 7.1.2, 7.4.1.2, C.2.4.1.2, and in Annex B . It adds Annex D. It replaces text in Appendices I, II, and V. It replaces text, table and figure in Appendix III and VI.</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09" w:history="1">
              <w:r w:rsidR="00A11163" w:rsidRPr="004567E2">
                <w:rPr>
                  <w:rStyle w:val="Hyperlink"/>
                  <w:rFonts w:ascii="Times New Roman" w:hAnsi="Times New Roman" w:cs="Times New Roman"/>
                  <w:sz w:val="24"/>
                  <w:szCs w:val="24"/>
                </w:rPr>
                <w:t>Recommendation ITU-T G.8273.3/Y.1368.3 “Timing characteristics of telecom transparent clocks”</w:t>
              </w:r>
            </w:hyperlink>
            <w:r w:rsidR="00A11163" w:rsidRPr="004567E2">
              <w:rPr>
                <w:rFonts w:ascii="Times New Roman" w:hAnsi="Times New Roman" w:cs="Times New Roman"/>
                <w:sz w:val="24"/>
                <w:szCs w:val="24"/>
              </w:rPr>
              <w:t xml:space="preserve"> defines the minimum requirements for transparent clocks. These requirements apply under the normal environmental conditions specified for the equipment.</w:t>
            </w:r>
          </w:p>
          <w:p w:rsidR="00A11163" w:rsidRPr="004567E2" w:rsidRDefault="00A11163" w:rsidP="00A11163">
            <w:pPr>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This Recommendation includes clock accuracy, noise generation, noise tolerance, noise transfer, and transient response for Telecom Transparent Clocks.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A11163" w:rsidP="00A11163">
            <w:pPr>
              <w:widowControl w:val="0"/>
              <w:rPr>
                <w:rStyle w:val="Hyperlink"/>
                <w:rFonts w:ascii="Times New Roman" w:hAnsi="Times New Roman" w:cs="Times New Roman"/>
                <w:sz w:val="24"/>
                <w:szCs w:val="24"/>
              </w:rPr>
            </w:pPr>
            <w:r w:rsidRPr="004567E2">
              <w:rPr>
                <w:rStyle w:val="Hyperlink"/>
                <w:rFonts w:ascii="Times New Roman" w:hAnsi="Times New Roman" w:cs="Times New Roman"/>
                <w:sz w:val="24"/>
                <w:szCs w:val="24"/>
              </w:rPr>
              <w:t xml:space="preserve">Recommendation ITU-T G.8273.3/Y.1368.3 Amd.1 “Timing characteristics of telecom transparent clocks - Amendment 1” (under approval) </w:t>
            </w:r>
            <w:r w:rsidRPr="004567E2">
              <w:rPr>
                <w:rStyle w:val="Hyperlink"/>
                <w:rFonts w:ascii="Times New Roman" w:hAnsi="Times New Roman" w:cs="Times New Roman"/>
                <w:color w:val="auto"/>
                <w:sz w:val="24"/>
                <w:szCs w:val="24"/>
                <w:u w:val="none"/>
              </w:rPr>
              <w:t>changes the notes in clauses 7.1.1, 7.1.2 and 7.13. It also adds Appendix III.</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510" w:tooltip="Architecture and requirements for packet-based time and phase distribution" w:history="1">
              <w:r w:rsidR="00A11163" w:rsidRPr="004567E2">
                <w:rPr>
                  <w:rStyle w:val="Hyperlink"/>
                  <w:rFonts w:ascii="Times New Roman" w:hAnsi="Times New Roman" w:cs="Times New Roman"/>
                  <w:sz w:val="24"/>
                  <w:szCs w:val="24"/>
                </w:rPr>
                <w:t>Recommendation ITU-T G.8275/Y.1369 “Architecture and requirements for packet-based time and phase distribution”</w:t>
              </w:r>
            </w:hyperlink>
            <w:r w:rsidR="00A11163" w:rsidRPr="004567E2">
              <w:rPr>
                <w:rFonts w:ascii="Times New Roman" w:hAnsi="Times New Roman" w:cs="Times New Roman"/>
                <w:sz w:val="24"/>
                <w:szCs w:val="24"/>
              </w:rPr>
              <w:t xml:space="preserve"> describes the architecture and requirements for packet</w:t>
            </w:r>
            <w:r w:rsidR="00A11163" w:rsidRPr="004567E2">
              <w:rPr>
                <w:rFonts w:ascii="Times New Roman" w:hAnsi="Times New Roman" w:cs="Times New Roman"/>
                <w:sz w:val="24"/>
                <w:szCs w:val="24"/>
              </w:rPr>
              <w:noBreakHyphen/>
              <w:t>based time and phase distribution in telecom networks. The architecture described is mainly applicable to the use of IEEE 1588. Details necessary to utilize IEEE 1588 in a manner consistent with the architecture are defined in other Recommendations.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sz w:val="24"/>
                <w:szCs w:val="24"/>
              </w:rPr>
              <w:t xml:space="preserve">Recommendation ITU-T G.8275/Y.1369 Amd.1 “Architecture and requirements </w:t>
            </w:r>
            <w:r w:rsidRPr="004567E2">
              <w:rPr>
                <w:rStyle w:val="Hyperlink"/>
                <w:rFonts w:ascii="Times New Roman" w:hAnsi="Times New Roman" w:cs="Times New Roman"/>
                <w:sz w:val="24"/>
                <w:szCs w:val="24"/>
              </w:rPr>
              <w:lastRenderedPageBreak/>
              <w:t xml:space="preserve">for packet-based time and phase distribution: Amendment 1” (under approval) </w:t>
            </w:r>
            <w:r w:rsidRPr="004567E2">
              <w:rPr>
                <w:rStyle w:val="Hyperlink"/>
                <w:rFonts w:ascii="Times New Roman" w:hAnsi="Times New Roman" w:cs="Times New Roman"/>
                <w:color w:val="auto"/>
                <w:sz w:val="24"/>
                <w:szCs w:val="24"/>
                <w:u w:val="none"/>
              </w:rPr>
              <w:t>provides the following updates:</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w:t>
            </w:r>
            <w:r w:rsidRPr="004567E2">
              <w:rPr>
                <w:rStyle w:val="Hyperlink"/>
                <w:rFonts w:ascii="Times New Roman" w:hAnsi="Times New Roman" w:cs="Times New Roman"/>
                <w:color w:val="auto"/>
                <w:sz w:val="24"/>
                <w:szCs w:val="24"/>
                <w:u w:val="none"/>
              </w:rPr>
              <w:tab/>
              <w:t>Add to Acronyms</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w:t>
            </w:r>
            <w:r w:rsidRPr="004567E2">
              <w:rPr>
                <w:rStyle w:val="Hyperlink"/>
                <w:rFonts w:ascii="Times New Roman" w:hAnsi="Times New Roman" w:cs="Times New Roman"/>
                <w:color w:val="auto"/>
                <w:sz w:val="24"/>
                <w:szCs w:val="24"/>
                <w:u w:val="none"/>
              </w:rPr>
              <w:tab/>
              <w:t>Add to Bibliography</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w:t>
            </w:r>
            <w:r w:rsidRPr="004567E2">
              <w:rPr>
                <w:rStyle w:val="Hyperlink"/>
                <w:rFonts w:ascii="Times New Roman" w:hAnsi="Times New Roman" w:cs="Times New Roman"/>
                <w:color w:val="auto"/>
                <w:sz w:val="24"/>
                <w:szCs w:val="24"/>
                <w:u w:val="none"/>
              </w:rPr>
              <w:tab/>
              <w:t>Update Appendix III, Generic IWF PTP clock</w:t>
            </w:r>
          </w:p>
          <w:p w:rsidR="00A11163" w:rsidRPr="004567E2" w:rsidRDefault="00A11163" w:rsidP="00A11163">
            <w:pPr>
              <w:widowControl w:val="0"/>
              <w:rPr>
                <w:rStyle w:val="Hyperlink"/>
                <w:rFonts w:ascii="Times New Roman" w:hAnsi="Times New Roman" w:cs="Times New Roman"/>
                <w:color w:val="auto"/>
                <w:sz w:val="24"/>
                <w:szCs w:val="24"/>
                <w:u w:val="none"/>
              </w:rPr>
            </w:pPr>
            <w:r w:rsidRPr="004567E2">
              <w:rPr>
                <w:rStyle w:val="Hyperlink"/>
                <w:rFonts w:ascii="Times New Roman" w:hAnsi="Times New Roman" w:cs="Times New Roman"/>
                <w:color w:val="auto"/>
                <w:sz w:val="24"/>
                <w:szCs w:val="24"/>
                <w:u w:val="none"/>
              </w:rPr>
              <w:t>−</w:t>
            </w:r>
            <w:r w:rsidRPr="004567E2">
              <w:rPr>
                <w:rStyle w:val="Hyperlink"/>
                <w:rFonts w:ascii="Times New Roman" w:hAnsi="Times New Roman" w:cs="Times New Roman"/>
                <w:color w:val="auto"/>
                <w:sz w:val="24"/>
                <w:szCs w:val="24"/>
                <w:u w:val="none"/>
              </w:rPr>
              <w:tab/>
              <w:t>Add new Appendix V, Deployment Examples and the Use of Partially Aware Clock Types</w:t>
            </w:r>
          </w:p>
          <w:p w:rsidR="00A11163" w:rsidRPr="004567E2" w:rsidRDefault="00A11163" w:rsidP="00A11163">
            <w:pPr>
              <w:widowControl w:val="0"/>
              <w:rPr>
                <w:rStyle w:val="Hyperlink"/>
                <w:rFonts w:ascii="Times New Roman" w:hAnsi="Times New Roman" w:cs="Times New Roman"/>
                <w:sz w:val="24"/>
                <w:szCs w:val="24"/>
              </w:rPr>
            </w:pPr>
            <w:r w:rsidRPr="004567E2">
              <w:rPr>
                <w:rStyle w:val="Hyperlink"/>
                <w:rFonts w:ascii="Times New Roman" w:hAnsi="Times New Roman" w:cs="Times New Roman"/>
                <w:color w:val="auto"/>
                <w:sz w:val="24"/>
                <w:szCs w:val="24"/>
                <w:u w:val="none"/>
              </w:rPr>
              <w:t>−</w:t>
            </w:r>
            <w:r w:rsidRPr="004567E2">
              <w:rPr>
                <w:rStyle w:val="Hyperlink"/>
                <w:rFonts w:ascii="Times New Roman" w:hAnsi="Times New Roman" w:cs="Times New Roman"/>
                <w:color w:val="auto"/>
                <w:sz w:val="24"/>
                <w:szCs w:val="24"/>
                <w:u w:val="none"/>
              </w:rPr>
              <w:tab/>
              <w:t>Add new Appendix VI, cnPRTC functional architecture.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A11163" w:rsidP="00A11163">
            <w:pPr>
              <w:widowControl w:val="0"/>
              <w:rPr>
                <w:rStyle w:val="Hyperlink"/>
                <w:rFonts w:ascii="Times New Roman" w:hAnsi="Times New Roman" w:cs="Times New Roman"/>
                <w:sz w:val="24"/>
                <w:szCs w:val="24"/>
              </w:rPr>
            </w:pPr>
            <w:r w:rsidRPr="004567E2">
              <w:rPr>
                <w:rStyle w:val="Hyperlink"/>
                <w:rFonts w:ascii="Times New Roman" w:hAnsi="Times New Roman" w:cs="Times New Roman"/>
                <w:sz w:val="24"/>
                <w:szCs w:val="24"/>
              </w:rPr>
              <w:t xml:space="preserve">Recommendation ITU-T G.9803 “Radio over fiber systems” </w:t>
            </w:r>
            <w:r w:rsidRPr="004567E2">
              <w:rPr>
                <w:rStyle w:val="Hyperlink"/>
                <w:rFonts w:ascii="Times New Roman" w:hAnsi="Times New Roman" w:cs="Times New Roman"/>
                <w:color w:val="auto"/>
                <w:sz w:val="24"/>
                <w:szCs w:val="24"/>
                <w:u w:val="none"/>
              </w:rPr>
              <w:t>defines fundamental architecture and requirements for radio over fiber system and specifies radio over fiber transmission systems suitable for access network and radiolocation applications.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11" w:history="1">
              <w:r w:rsidR="00A11163" w:rsidRPr="004567E2">
                <w:rPr>
                  <w:rStyle w:val="Hyperlink"/>
                  <w:rFonts w:ascii="Times New Roman" w:hAnsi="Times New Roman" w:cs="Times New Roman"/>
                  <w:sz w:val="24"/>
                  <w:szCs w:val="24"/>
                </w:rPr>
                <w:t>Recommendation ITU-T G.8275.1/Y.1369.1 (2016) Amd.1 “Precision time protocol telecom profile for phase/time synchronization with full timing support from the network – Amendment 1”</w:t>
              </w:r>
            </w:hyperlink>
            <w:r w:rsidR="00A11163" w:rsidRPr="004567E2">
              <w:rPr>
                <w:rFonts w:ascii="Times New Roman" w:hAnsi="Times New Roman" w:cs="Times New Roman"/>
                <w:sz w:val="24"/>
                <w:szCs w:val="24"/>
              </w:rPr>
              <w:t xml:space="preserve"> provides the following updates:</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Added G.8271 to references</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Addition of a new definition: Special Port (3.2)</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Clarification on the use of logMessageInterval in Delay_Resp messages (6.2.8)</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Clarification on the behaviour of the T-BC Announce message contents when the T-BC has a parent clock.</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Incremented the minor revision number of the profileVersion (Annex A)</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Correction to the handling of the alternateMasterFlag</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Added informative text on the handling of the synchronizationUncertain flag (Annex E)</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Added monitoring of a PTP MASTER port by a PTP PASSIVE port (Annex G)</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Updates to Announce message fields of currentUtcOffset and synchronizationUncertain when using PTP clock states (Appendix V)</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lastRenderedPageBreak/>
              <w:t>−</w:t>
            </w:r>
            <w:r w:rsidRPr="004567E2">
              <w:rPr>
                <w:rFonts w:ascii="Times New Roman" w:hAnsi="Times New Roman" w:cs="Times New Roman"/>
                <w:sz w:val="24"/>
                <w:szCs w:val="24"/>
              </w:rPr>
              <w:tab/>
              <w:t>Update of Appendix VII</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Added informative use cases for the use of the priority2 attribute (Appendix X)</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Added considerations on native access equipment (Appendix XI)</w:t>
            </w:r>
          </w:p>
          <w:p w:rsidR="00A11163" w:rsidRPr="004567E2" w:rsidRDefault="00A11163" w:rsidP="00A11163">
            <w:pPr>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w:t>
            </w:r>
            <w:r w:rsidRPr="004567E2">
              <w:rPr>
                <w:rFonts w:ascii="Times New Roman" w:hAnsi="Times New Roman" w:cs="Times New Roman"/>
                <w:sz w:val="24"/>
                <w:szCs w:val="24"/>
              </w:rPr>
              <w:tab/>
              <w:t>Added monitoring alternate master time information provided by a peer PTP port (Appendix XII).</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12" w:history="1">
              <w:r w:rsidR="00A11163" w:rsidRPr="004567E2">
                <w:rPr>
                  <w:rStyle w:val="Hyperlink"/>
                  <w:rFonts w:ascii="Times New Roman" w:hAnsi="Times New Roman" w:cs="Times New Roman"/>
                  <w:sz w:val="24"/>
                  <w:szCs w:val="24"/>
                </w:rPr>
                <w:t>Recommendation ITU-T G.8275.1/Y.1369.1 (2016) Amd.2 “Precision time protocol telecom profile for phase/time synchronization with full timing support from the network: Amendment 2”</w:t>
              </w:r>
            </w:hyperlink>
            <w:r w:rsidR="00A11163" w:rsidRPr="004567E2">
              <w:rPr>
                <w:rFonts w:ascii="Times New Roman" w:hAnsi="Times New Roman" w:cs="Times New Roman"/>
                <w:sz w:val="24"/>
                <w:szCs w:val="24"/>
              </w:rPr>
              <w:t xml:space="preserve"> provides the following updates:</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Change Annex C to reference G.8275 Annex B</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Correct some settings in Tables V.2 and V.3</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Clarify the requirements on the T-TSC when it is embedded in the end application</w:t>
            </w:r>
          </w:p>
          <w:p w:rsidR="00A11163" w:rsidRPr="004567E2" w:rsidRDefault="00A11163" w:rsidP="00A11163">
            <w:pPr>
              <w:pStyle w:val="ListParagraph"/>
              <w:ind w:left="0"/>
              <w:contextualSpacing w:val="0"/>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w:t>
            </w:r>
            <w:r w:rsidRPr="004567E2">
              <w:rPr>
                <w:rFonts w:ascii="Times New Roman" w:hAnsi="Times New Roman" w:cs="Times New Roman"/>
                <w:sz w:val="24"/>
                <w:szCs w:val="24"/>
              </w:rPr>
              <w:tab/>
              <w:t>Add an example to Appendix XII.</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13" w:history="1">
              <w:r w:rsidR="00A11163" w:rsidRPr="004567E2">
                <w:rPr>
                  <w:rStyle w:val="Hyperlink"/>
                  <w:rFonts w:ascii="Times New Roman" w:hAnsi="Times New Roman" w:cs="Times New Roman"/>
                  <w:sz w:val="24"/>
                  <w:szCs w:val="24"/>
                </w:rPr>
                <w:t>Recommendation ITU-T G.8275.1/Y.1369.1 “Precision time protocol telecom profile for phase/time synchronization with full timing support from the network”</w:t>
              </w:r>
            </w:hyperlink>
            <w:r w:rsidR="00A11163" w:rsidRPr="004567E2">
              <w:rPr>
                <w:rFonts w:ascii="Times New Roman" w:hAnsi="Times New Roman" w:cs="Times New Roman"/>
                <w:sz w:val="24"/>
                <w:szCs w:val="24"/>
              </w:rPr>
              <w:t xml:space="preserve"> contains the ITU-T precision time protocol (PTP) profile for phase and time distribution with full timing support from the network. It provides the necessary details to utilize IEEE Std 1588™-2008 in a manner consistent with the architecture described in Recommendation ITU</w:t>
            </w:r>
            <w:r w:rsidR="00A11163" w:rsidRPr="004567E2">
              <w:rPr>
                <w:rFonts w:ascii="Times New Roman" w:hAnsi="Times New Roman" w:cs="Times New Roman"/>
                <w:sz w:val="24"/>
                <w:szCs w:val="24"/>
              </w:rPr>
              <w:noBreakHyphen/>
              <w:t>T G.8275/Y.1369.</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14" w:history="1">
              <w:r w:rsidR="00A11163" w:rsidRPr="004567E2">
                <w:rPr>
                  <w:rStyle w:val="Hyperlink"/>
                  <w:rFonts w:ascii="Times New Roman" w:hAnsi="Times New Roman" w:cs="Times New Roman"/>
                  <w:sz w:val="24"/>
                  <w:szCs w:val="24"/>
                </w:rPr>
                <w:t>Recommendation ITU-T G.8275.2/Y.1369.2 “Precision time protocol telecom profile for time/phase synchronization with partial timing support from the network”</w:t>
              </w:r>
            </w:hyperlink>
            <w:r w:rsidR="00A11163" w:rsidRPr="004567E2">
              <w:rPr>
                <w:rFonts w:ascii="Times New Roman" w:hAnsi="Times New Roman" w:cs="Times New Roman"/>
                <w:sz w:val="24"/>
                <w:szCs w:val="24"/>
              </w:rPr>
              <w:t xml:space="preserve"> contains the ITU-T precision time protocol (PTP) profile for phase/time distribution with partial timing support from the network (unicast mode). It provides the necessary details to utilize IEEE 1588 in a manner consistent with the architecture described in Recommendation ITU-T G. 8275/Y.1369. This edition of the Recommendation defines the PTP profile for unicast mode only. Future editions of the Recommendation may contain a separate profile for a mixed unicast/multicast case.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15" w:history="1">
              <w:r w:rsidR="00A11163" w:rsidRPr="004567E2">
                <w:rPr>
                  <w:rStyle w:val="Hyperlink"/>
                  <w:rFonts w:ascii="Times New Roman" w:hAnsi="Times New Roman" w:cs="Times New Roman"/>
                  <w:sz w:val="24"/>
                  <w:szCs w:val="24"/>
                </w:rPr>
                <w:t>Recommendation ITU-T G.8275.2/Y.1369.2 (2016) Amd.1 “Precision time protocol telecom profile for phase/time synchronization with partial timing support from the network – Amendment 1”</w:t>
              </w:r>
            </w:hyperlink>
            <w:r w:rsidR="00A11163" w:rsidRPr="004567E2">
              <w:rPr>
                <w:rFonts w:ascii="Times New Roman" w:hAnsi="Times New Roman" w:cs="Times New Roman"/>
                <w:sz w:val="24"/>
                <w:szCs w:val="24"/>
              </w:rPr>
              <w:t xml:space="preserve"> provides the following updates.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16" w:history="1">
              <w:r w:rsidR="00A11163" w:rsidRPr="004567E2">
                <w:rPr>
                  <w:rStyle w:val="Hyperlink"/>
                  <w:rFonts w:ascii="Times New Roman" w:hAnsi="Times New Roman" w:cs="Times New Roman"/>
                  <w:sz w:val="24"/>
                  <w:szCs w:val="24"/>
                </w:rPr>
                <w:t>Recommendation ITU-T G.8275.2/Y.1369.2 (2016) Amd.2 “Precision time protocol telecom profile for phase/time synchronization with partial timing support from the network - Amendment 2”</w:t>
              </w:r>
            </w:hyperlink>
            <w:r w:rsidR="00A11163" w:rsidRPr="004567E2">
              <w:rPr>
                <w:rFonts w:ascii="Times New Roman" w:hAnsi="Times New Roman" w:cs="Times New Roman"/>
                <w:sz w:val="24"/>
                <w:szCs w:val="24"/>
              </w:rPr>
              <w:t xml:space="preserve"> provides the following updates:</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Added new acronym to clause 4: T-BC-A</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Added and replaced text in clause 5 related to addition of T-BC-A</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Added and replaced text in clause 6.2.3 related to T-BC-A addition and reference to “local time reference”, including changes to Table 1</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Changed text in clause 6.6</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Added references to T-BC-A in clauses 6.7.1 and 6.7.4</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Added T-BC-A reference and “local time reference” to clauses 6.7.6 and 6.7.7</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New material and edits to clause 6.8 including T-BC-A references</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Added references to T-BC-A in Appendix I and Appendix III</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Added “local time reference” to Appendix II</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 xml:space="preserve">Added and replaced material in Appendix IV </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New material added to Appendix V related to PTSF</w:t>
            </w:r>
          </w:p>
          <w:p w:rsidR="00A11163" w:rsidRPr="004567E2" w:rsidRDefault="00A11163" w:rsidP="00A11163">
            <w:pPr>
              <w:pStyle w:val="ListParagraph"/>
              <w:widowControl w:val="0"/>
              <w:ind w:left="3"/>
              <w:contextualSpacing w:val="0"/>
              <w:rPr>
                <w:rStyle w:val="Hyperlink"/>
                <w:rFonts w:ascii="Times New Roman" w:eastAsiaTheme="minorEastAsia" w:hAnsi="Times New Roman" w:cs="Times New Roman"/>
                <w:sz w:val="24"/>
                <w:szCs w:val="24"/>
                <w:lang w:val="en-GB" w:eastAsia="zh-CN"/>
              </w:rPr>
            </w:pPr>
            <w:r w:rsidRPr="004567E2">
              <w:rPr>
                <w:rFonts w:ascii="Times New Roman" w:hAnsi="Times New Roman" w:cs="Times New Roman"/>
                <w:sz w:val="24"/>
                <w:szCs w:val="24"/>
              </w:rPr>
              <w:t>-</w:t>
            </w:r>
            <w:r w:rsidRPr="004567E2">
              <w:rPr>
                <w:rFonts w:ascii="Times New Roman" w:hAnsi="Times New Roman" w:cs="Times New Roman"/>
                <w:sz w:val="24"/>
                <w:szCs w:val="24"/>
              </w:rPr>
              <w:tab/>
              <w:t>Added new Appendix VIII on PTSF-lossSync.</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17" w:tooltip="Fast access to subscriber terminals (G.fast) - Power spectral density specification" w:history="1">
              <w:r w:rsidR="00A11163" w:rsidRPr="004567E2">
                <w:rPr>
                  <w:rStyle w:val="Hyperlink"/>
                  <w:rFonts w:ascii="Times New Roman" w:hAnsi="Times New Roman" w:cs="Times New Roman"/>
                  <w:sz w:val="24"/>
                  <w:szCs w:val="24"/>
                </w:rPr>
                <w:t>Recommendation ITU-T G.9700 “Fast access to subscriber terminals (G.fast) - Power spectral density specification”</w:t>
              </w:r>
            </w:hyperlink>
            <w:r w:rsidR="00A11163" w:rsidRPr="004567E2">
              <w:rPr>
                <w:rFonts w:ascii="Times New Roman" w:hAnsi="Times New Roman" w:cs="Times New Roman"/>
                <w:sz w:val="24"/>
                <w:szCs w:val="24"/>
              </w:rPr>
              <w:t xml:space="preserve"> specifies power spectral density (PSD) mask requirements for fast access to subscriber terminals (G.fast), a set of tools to support reduction of the transmit PSD mask, profile control parameters that determine spectral content, including the allowable maximum aggregate transmit power into a specified termination impedance, and a methodology for transmit PSD verification. It complements the physical layer (PHY) specification in Recommendation ITU</w:t>
            </w:r>
            <w:r w:rsidR="00A11163" w:rsidRPr="004567E2">
              <w:rPr>
                <w:rFonts w:ascii="Times New Roman" w:hAnsi="Times New Roman" w:cs="Times New Roman"/>
                <w:sz w:val="24"/>
                <w:szCs w:val="24"/>
              </w:rPr>
              <w:noBreakHyphen/>
              <w:t>T G.9701.</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18" w:tooltip="Fast access to subscriber terminals (G.fast) - Physical layer specification" w:history="1">
              <w:r w:rsidR="00A11163" w:rsidRPr="004567E2">
                <w:rPr>
                  <w:rStyle w:val="Hyperlink"/>
                  <w:rFonts w:ascii="Times New Roman" w:hAnsi="Times New Roman" w:cs="Times New Roman"/>
                  <w:sz w:val="24"/>
                  <w:szCs w:val="24"/>
                </w:rPr>
                <w:t xml:space="preserve">Recommendation ITU-T G.9701 “Fast access to subscriber terminals (G.fast) - </w:t>
              </w:r>
              <w:r w:rsidR="00A11163" w:rsidRPr="004567E2">
                <w:rPr>
                  <w:rStyle w:val="Hyperlink"/>
                  <w:rFonts w:ascii="Times New Roman" w:hAnsi="Times New Roman" w:cs="Times New Roman"/>
                  <w:sz w:val="24"/>
                  <w:szCs w:val="24"/>
                </w:rPr>
                <w:lastRenderedPageBreak/>
                <w:t>Physical layer specification”</w:t>
              </w:r>
            </w:hyperlink>
            <w:r w:rsidR="00A11163" w:rsidRPr="004567E2">
              <w:rPr>
                <w:rFonts w:ascii="Times New Roman" w:hAnsi="Times New Roman" w:cs="Times New Roman"/>
                <w:sz w:val="24"/>
                <w:szCs w:val="24"/>
              </w:rPr>
              <w:t xml:space="preserve"> specifies a gigabit broadband access technology that exploits the existing infrastructure of wire-pairs that were originally deployed for plain old telephone service (POTS) services. Equipment implementing this Recommendation can be deployed from fibre-fed distribution points (fibre to the distribution point, FTTdp) located very near the customer premises, or within buildings (fibre to the building, FTTB). This Recommendation supports asymmetric and symmetric transmission at an aggregate net data rate up to 1 Gbit/s on twisted wire-pairs using spectrum up to 106 MHz and specifies all necessary functionality to support far-end crosstalk (FEXT) cancellation between multiple wire-pairs, and facilitates low power operation.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9.c</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19" w:history="1">
              <w:r w:rsidR="00A11163" w:rsidRPr="004567E2">
                <w:rPr>
                  <w:rStyle w:val="Hyperlink"/>
                  <w:rFonts w:ascii="Times New Roman" w:hAnsi="Times New Roman" w:cs="Times New Roman"/>
                  <w:sz w:val="24"/>
                  <w:szCs w:val="24"/>
                </w:rPr>
                <w:t>Recommendation ITU-T G.9700 (2014) Amd.2 “Fast access to subscriber terminals (G.fast) - Power spectral density specification (2014) Amendment 2”</w:t>
              </w:r>
            </w:hyperlink>
            <w:r w:rsidR="00A11163" w:rsidRPr="004567E2">
              <w:rPr>
                <w:rFonts w:ascii="Times New Roman" w:hAnsi="Times New Roman" w:cs="Times New Roman"/>
                <w:sz w:val="24"/>
                <w:szCs w:val="24"/>
              </w:rPr>
              <w:t xml:space="preserve"> aligns the text of clause 6.5 on notching of specific frequency bands with ITU-T G.9701 (2014) and its latest amendments, completes the specification of 212 MHz profiles, adds Annex X “Adaptation to the coax medium” in support of Annex X “ Operation without multi-line coordination intended for a crosstalk free environment” that has been specified in amendment 3 to ITU-T G.9701, and updates the table of International amateur radio frequencies in Appendix I.</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9.c</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20" w:history="1">
              <w:r w:rsidR="00A11163" w:rsidRPr="004567E2">
                <w:rPr>
                  <w:rStyle w:val="Hyperlink"/>
                  <w:rFonts w:ascii="Times New Roman" w:hAnsi="Times New Roman" w:cs="Times New Roman"/>
                  <w:sz w:val="24"/>
                  <w:szCs w:val="24"/>
                </w:rPr>
                <w:t>Recommendation ITU-T G.9701 (2014) Amd.3 “Fast access to subscriber terminals (G.fast) - Physical layer specification: Amendment 3”</w:t>
              </w:r>
            </w:hyperlink>
            <w:r w:rsidR="00A11163" w:rsidRPr="004567E2">
              <w:rPr>
                <w:rFonts w:ascii="Times New Roman" w:hAnsi="Times New Roman" w:cs="Times New Roman"/>
                <w:sz w:val="24"/>
                <w:szCs w:val="24"/>
              </w:rPr>
              <w:t xml:space="preserve"> </w:t>
            </w:r>
            <w:r w:rsidR="00A11163" w:rsidRPr="004567E2">
              <w:rPr>
                <w:rFonts w:ascii="Times New Roman" w:hAnsi="Times New Roman" w:cs="Times New Roman"/>
                <w:sz w:val="24"/>
                <w:szCs w:val="24"/>
                <w:lang w:val="en-CA"/>
              </w:rPr>
              <w:t>supports the following new functionality: full specification of the 212 MHz profile, Annex X – Operation without multi-line coordination intended for a crosstalk free environment (e.g., coax medium) including dynamic time assignment (DTA), Annex T – higher layer control aspects of DTA, and Annex S – software download to NTs.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9.c</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21" w:history="1">
              <w:r w:rsidR="00A11163" w:rsidRPr="004567E2">
                <w:rPr>
                  <w:rStyle w:val="Hyperlink"/>
                  <w:rFonts w:ascii="Times New Roman" w:hAnsi="Times New Roman" w:cs="Times New Roman"/>
                  <w:sz w:val="24"/>
                  <w:szCs w:val="24"/>
                </w:rPr>
                <w:t>Recommendation ITU-T G.9701 (2014) Amd.4 “Fast Access to Subscriber Terminals (G.fast) – Physical layer specification”</w:t>
              </w:r>
            </w:hyperlink>
            <w:r w:rsidR="00A11163" w:rsidRPr="004567E2">
              <w:rPr>
                <w:rFonts w:ascii="Times New Roman" w:hAnsi="Times New Roman" w:cs="Times New Roman"/>
                <w:sz w:val="24"/>
                <w:szCs w:val="24"/>
              </w:rPr>
              <w:t xml:space="preserve"> supports the following new functionality: Impulse noise monitoring (INM) and robust management channel recovery (RMCR).</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9.c</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22" w:history="1">
              <w:r w:rsidR="00A11163" w:rsidRPr="004567E2">
                <w:rPr>
                  <w:rStyle w:val="Hyperlink"/>
                  <w:rFonts w:ascii="Times New Roman" w:hAnsi="Times New Roman" w:cs="Times New Roman"/>
                  <w:sz w:val="24"/>
                  <w:szCs w:val="24"/>
                </w:rPr>
                <w:t xml:space="preserve">Recommendation ITU-T G.9701 (2014) Amd.5 “Fast access to subscriber terminals </w:t>
              </w:r>
              <w:r w:rsidR="00A11163" w:rsidRPr="004567E2">
                <w:rPr>
                  <w:rStyle w:val="Hyperlink"/>
                  <w:rFonts w:ascii="Times New Roman" w:hAnsi="Times New Roman" w:cs="Times New Roman"/>
                  <w:sz w:val="24"/>
                  <w:szCs w:val="24"/>
                </w:rPr>
                <w:lastRenderedPageBreak/>
                <w:t>(G.fast) - Physical layer specification: Amendment 5”</w:t>
              </w:r>
            </w:hyperlink>
            <w:r w:rsidR="00A11163" w:rsidRPr="004567E2">
              <w:rPr>
                <w:rFonts w:ascii="Times New Roman" w:hAnsi="Times New Roman" w:cs="Times New Roman"/>
                <w:sz w:val="24"/>
                <w:szCs w:val="24"/>
              </w:rPr>
              <w:t xml:space="preserve"> supports coordinated dynamic time assignment (cDTA).</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9.c</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23" w:tooltip="Ethernet passive optical networks using OMCI" w:history="1">
              <w:r w:rsidR="00A11163" w:rsidRPr="004567E2">
                <w:rPr>
                  <w:rStyle w:val="Hyperlink"/>
                  <w:rFonts w:ascii="Times New Roman" w:hAnsi="Times New Roman" w:cs="Times New Roman"/>
                  <w:sz w:val="24"/>
                  <w:szCs w:val="24"/>
                </w:rPr>
                <w:t>Recommendation ITU-T G.9801 “Ethernet passive optical networks using OMCI”</w:t>
              </w:r>
            </w:hyperlink>
            <w:r w:rsidR="00A11163" w:rsidRPr="004567E2">
              <w:rPr>
                <w:rFonts w:ascii="Times New Roman" w:hAnsi="Times New Roman" w:cs="Times New Roman"/>
                <w:sz w:val="24"/>
                <w:szCs w:val="24"/>
              </w:rPr>
              <w:t xml:space="preserve"> describes requirements and specifications of Ethernet passive optical network (EPON) systems using the ONU management and control interface (OMCI), which is called OMCI-EPON.</w:t>
            </w:r>
            <w:r w:rsidR="00A11163" w:rsidRPr="004567E2">
              <w:rPr>
                <w:rFonts w:ascii="Times New Roman" w:hAnsi="Times New Roman" w:cs="Times New Roman"/>
                <w:sz w:val="24"/>
                <w:szCs w:val="24"/>
              </w:rPr>
              <w:br/>
              <w:t>OMCI-EPON is based on IEEE 802.3 and IEEE 1904.1 for user data transport, and applies Annex C of Recommendation ITU-T G.988 for its management. OMCI-EPON supports 1G-EPON, 10/1G</w:t>
            </w:r>
            <w:r w:rsidR="00A11163" w:rsidRPr="004567E2">
              <w:rPr>
                <w:rFonts w:ascii="Times New Roman" w:hAnsi="Times New Roman" w:cs="Times New Roman"/>
                <w:sz w:val="24"/>
                <w:szCs w:val="24"/>
              </w:rPr>
              <w:noBreakHyphen/>
              <w:t>EPON and 10/10G-EPON architectures defined in IEEE 802.3, and provides a mechanism that enables coexistence with the existing PON systems using time division multiple access (TDMA) technologies and/or wavelength blocking filter (WBF).</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24" w:tooltip="Multiple-wavelength passive optical networks (MW-PONs)" w:history="1">
              <w:r w:rsidR="00A11163" w:rsidRPr="004567E2">
                <w:rPr>
                  <w:rStyle w:val="Hyperlink"/>
                  <w:rFonts w:ascii="Times New Roman" w:hAnsi="Times New Roman" w:cs="Times New Roman"/>
                  <w:sz w:val="24"/>
                  <w:szCs w:val="24"/>
                </w:rPr>
                <w:t>Recommendation ITU-T G.9802 “Multiple-wavelength passive optical networks (MW-PONs)”</w:t>
              </w:r>
            </w:hyperlink>
            <w:r w:rsidR="00A11163" w:rsidRPr="004567E2">
              <w:rPr>
                <w:rFonts w:ascii="Times New Roman" w:hAnsi="Times New Roman" w:cs="Times New Roman"/>
                <w:sz w:val="24"/>
                <w:szCs w:val="24"/>
              </w:rPr>
              <w:t xml:space="preserve"> describes the general requirements and architecture of multiple wavelength passive optical network (PON) systems. It specifies the mechanism of wavelength assignment, wavelength tuning and wavelength maintenance in multiple-wavelength PON systems. The functionalities of wavelength resource management and wavelength channel performance monitoring and supervision are also included within the scope of this Recommendation. The specifications in this Recommendation can be applied to various types of multiple-wavelength PON systems.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25" w:tooltip="10-Gigabit-capable symmetric passive optical network (XGS-PON)" w:history="1">
              <w:r w:rsidR="00A11163" w:rsidRPr="004567E2">
                <w:rPr>
                  <w:rStyle w:val="Hyperlink"/>
                  <w:rFonts w:ascii="Times New Roman" w:hAnsi="Times New Roman" w:cs="Times New Roman"/>
                  <w:sz w:val="24"/>
                  <w:szCs w:val="24"/>
                </w:rPr>
                <w:t>Recommendation ITU-T G.9807.1 “10-Gigabit-capable symmetric passive optical network (XGS-PON)”</w:t>
              </w:r>
            </w:hyperlink>
            <w:r w:rsidR="00A11163" w:rsidRPr="004567E2">
              <w:rPr>
                <w:rFonts w:ascii="Times New Roman" w:hAnsi="Times New Roman" w:cs="Times New Roman"/>
                <w:sz w:val="24"/>
                <w:szCs w:val="24"/>
              </w:rPr>
              <w:t xml:space="preserve"> describes a 10-Gigabit-capable symmetric passive optical network (XGS-PON) system in an optical access network for residential, business, mobile backhaul and other applications. This system operates over a point-to-multipoint optical access infrastructure at the nominal data rate of 10 Gbit/s both in the downstream and upstream direction. Recommendation ITU-T G.XGS-PON contains the common definitions, acronyms, abbreviations, conventions, General requirements, Physical Media Dependent layer requirements, and Transmission </w:t>
            </w:r>
            <w:r w:rsidR="00A11163" w:rsidRPr="004567E2">
              <w:rPr>
                <w:rFonts w:ascii="Times New Roman" w:hAnsi="Times New Roman" w:cs="Times New Roman"/>
                <w:sz w:val="24"/>
                <w:szCs w:val="24"/>
              </w:rPr>
              <w:lastRenderedPageBreak/>
              <w:t>Convergence layer requirements of the XGS-PON system.</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26" w:history="1">
              <w:r w:rsidR="00A11163" w:rsidRPr="004567E2">
                <w:rPr>
                  <w:rStyle w:val="Hyperlink"/>
                  <w:rFonts w:ascii="Times New Roman" w:hAnsi="Times New Roman" w:cs="Times New Roman"/>
                  <w:sz w:val="24"/>
                  <w:szCs w:val="24"/>
                </w:rPr>
                <w:t>Recommendation ITU-T G.9807.1 (2016) Amd.1 “10-Gigabit-capable symmetric passive optical network (XGS-PON)”</w:t>
              </w:r>
            </w:hyperlink>
            <w:r w:rsidR="00A11163" w:rsidRPr="004567E2">
              <w:rPr>
                <w:rFonts w:ascii="Times New Roman" w:hAnsi="Times New Roman" w:cs="Times New Roman"/>
                <w:sz w:val="24"/>
                <w:szCs w:val="24"/>
              </w:rPr>
              <w:t xml:space="preserve"> contains necessary additional details and clarifications for the Recommendation, and provides regular specification maintenance.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27" w:history="1">
              <w:r w:rsidR="00A11163" w:rsidRPr="004567E2">
                <w:rPr>
                  <w:rStyle w:val="Hyperlink"/>
                  <w:rFonts w:ascii="Times New Roman" w:hAnsi="Times New Roman" w:cs="Times New Roman"/>
                  <w:sz w:val="24"/>
                  <w:szCs w:val="24"/>
                </w:rPr>
                <w:t>Recommendation ITU-T G.9807.2 “10 Gigabit-capable symmetrical passive optical networks (XG(S) PON): Reach extension”</w:t>
              </w:r>
            </w:hyperlink>
            <w:r w:rsidR="00A11163" w:rsidRPr="004567E2">
              <w:rPr>
                <w:rFonts w:ascii="Times New Roman" w:hAnsi="Times New Roman" w:cs="Times New Roman"/>
                <w:sz w:val="24"/>
                <w:szCs w:val="24"/>
              </w:rPr>
              <w:t xml:space="preserve"> outlines the architecture and interface parameters for 10 Gigabit-capable symmetrical passive optical network (XG(S)-PON) systems with extended reach using a physical layer reach extension device, such as a regenerator or optical amplifier in the fibre link between the optical line termination (OLT) and optical network unit (ONU). Wavelength converting, continuous mode, 1:N and combination type reach extenders are also described. The maximum reach is up to 60 km with loss budgets of in excess of 28.5 dB being achievable in both spans.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A11163" w:rsidP="00A11163">
            <w:pPr>
              <w:widowControl w:val="0"/>
              <w:rPr>
                <w:rStyle w:val="Hyperlink"/>
                <w:rFonts w:ascii="Times New Roman" w:hAnsi="Times New Roman" w:cs="Times New Roman"/>
                <w:sz w:val="24"/>
                <w:szCs w:val="24"/>
              </w:rPr>
            </w:pPr>
            <w:r w:rsidRPr="004567E2">
              <w:rPr>
                <w:rStyle w:val="Hyperlink"/>
                <w:rFonts w:ascii="Times New Roman" w:hAnsi="Times New Roman" w:cs="Times New Roman"/>
                <w:sz w:val="24"/>
                <w:szCs w:val="24"/>
              </w:rPr>
              <w:t xml:space="preserve">Recommendation ITU-T G.9807.2 Amd1 “10 Gigabit-capable symmetrical passive optical networks (XG(S)-PON): Reach extension” </w:t>
            </w:r>
            <w:r w:rsidRPr="004567E2">
              <w:rPr>
                <w:rStyle w:val="Hyperlink"/>
                <w:rFonts w:ascii="Times New Roman" w:hAnsi="Times New Roman" w:cs="Times New Roman"/>
                <w:color w:val="auto"/>
                <w:sz w:val="24"/>
                <w:szCs w:val="24"/>
                <w:u w:val="none"/>
              </w:rPr>
              <w:t>contains necessary additional details and clarifications for the Recommendation, and provides regular specification maintenance.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28" w:history="1">
              <w:r w:rsidR="00A11163" w:rsidRPr="004567E2">
                <w:rPr>
                  <w:rStyle w:val="Hyperlink"/>
                  <w:rFonts w:ascii="Times New Roman" w:hAnsi="Times New Roman" w:cs="Times New Roman"/>
                  <w:sz w:val="24"/>
                  <w:szCs w:val="24"/>
                </w:rPr>
                <w:t>Recommendation ITU-T G.9901 “Narrowband orthogonal frequency division multiplexing power line communication transceivers - Power spectral density specification”</w:t>
              </w:r>
            </w:hyperlink>
            <w:r w:rsidR="00A11163" w:rsidRPr="004567E2">
              <w:rPr>
                <w:rFonts w:ascii="Times New Roman" w:hAnsi="Times New Roman" w:cs="Times New Roman"/>
                <w:sz w:val="24"/>
                <w:szCs w:val="24"/>
              </w:rPr>
              <w:t xml:space="preserve"> specifies the transmitted output voltage in the band 9-535 kHz, the control parameters that determine spectral content, power spectral density (PSD) mask requirements, a set of tools to support the reduction of the transmit PSD, the means to measure this PSD for transmission over power line wiring, as well as the allowable total transmit power into a specified termination impedance. It also complements the system architecture, physical layer (PHY) and data link layer (DLL) specifications in Recommendations ITU T G.9902 (G.hnem), ITU-T G.9903 (G3-PLC), and ITU-T G.9904 (PRIME).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29" w:history="1">
              <w:r w:rsidR="00A11163" w:rsidRPr="004567E2">
                <w:rPr>
                  <w:rStyle w:val="Hyperlink"/>
                  <w:rFonts w:ascii="Times New Roman" w:hAnsi="Times New Roman" w:cs="Times New Roman"/>
                  <w:sz w:val="24"/>
                  <w:szCs w:val="24"/>
                </w:rPr>
                <w:t xml:space="preserve">Recommendation ITU-T G.9902 “Narrowband orthogonal frequency division </w:t>
              </w:r>
              <w:r w:rsidR="00A11163" w:rsidRPr="004567E2">
                <w:rPr>
                  <w:rStyle w:val="Hyperlink"/>
                  <w:rFonts w:ascii="Times New Roman" w:hAnsi="Times New Roman" w:cs="Times New Roman"/>
                  <w:sz w:val="24"/>
                  <w:szCs w:val="24"/>
                </w:rPr>
                <w:lastRenderedPageBreak/>
                <w:t>multiplexing power line communication transceivers for ITU-T G.hnem networks”</w:t>
              </w:r>
            </w:hyperlink>
            <w:r w:rsidR="00A11163" w:rsidRPr="004567E2">
              <w:rPr>
                <w:rFonts w:ascii="Times New Roman" w:hAnsi="Times New Roman" w:cs="Times New Roman"/>
                <w:sz w:val="24"/>
                <w:szCs w:val="24"/>
              </w:rPr>
              <w:t xml:space="preserve"> contains the physical layer (PHY) and the data link layer (DLL) specifications for the ITU-T G.9902 narrowband orthogonal frequency division multiplexing (OFDM) power line communication transceivers, operating over alternating current and direct current electric power lines over frequencies below 500 kHz.</w:t>
            </w:r>
            <w:r w:rsidR="00A11163" w:rsidRPr="004567E2">
              <w:rPr>
                <w:rFonts w:ascii="Times New Roman" w:hAnsi="Times New Roman" w:cs="Times New Roman"/>
                <w:sz w:val="24"/>
                <w:szCs w:val="24"/>
              </w:rPr>
              <w:br/>
              <w:t>This Recommendation uses material from Recommendations ITU-T G.9955 and ITU-T G.9956; specifically material from the main body and the annexes pertaining to the main body. New technical material has not been introduced in this version.</w:t>
            </w:r>
            <w:r w:rsidR="00A11163" w:rsidRPr="004567E2">
              <w:rPr>
                <w:rFonts w:ascii="Times New Roman" w:hAnsi="Times New Roman" w:cs="Times New Roman"/>
                <w:sz w:val="24"/>
                <w:szCs w:val="24"/>
              </w:rPr>
              <w:br/>
              <w:t>The control parameters that determine spectral content, power spectral density (PSD) mask requirements and the set of tools to support the reduction of the transmit PSD can be found in Recommendation ITU-T G.9901.</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30" w:history="1">
              <w:r w:rsidR="00A11163" w:rsidRPr="004567E2">
                <w:rPr>
                  <w:rStyle w:val="Hyperlink"/>
                  <w:rFonts w:ascii="Times New Roman" w:hAnsi="Times New Roman" w:cs="Times New Roman"/>
                  <w:sz w:val="24"/>
                  <w:szCs w:val="24"/>
                </w:rPr>
                <w:t>Recommendation ITU-T G.9903 “Narrowband orthogonal frequency division multiplexing power line communication transceivers for G3-PLC networks”</w:t>
              </w:r>
            </w:hyperlink>
            <w:r w:rsidR="00A11163" w:rsidRPr="004567E2">
              <w:rPr>
                <w:rFonts w:ascii="Times New Roman" w:hAnsi="Times New Roman" w:cs="Times New Roman"/>
                <w:sz w:val="24"/>
                <w:szCs w:val="24"/>
              </w:rPr>
              <w:t xml:space="preserve"> </w:t>
            </w:r>
            <w:r w:rsidR="00A11163" w:rsidRPr="004567E2">
              <w:rPr>
                <w:rFonts w:ascii="Times New Roman" w:hAnsi="Times New Roman" w:cs="Times New Roman"/>
                <w:bCs/>
                <w:sz w:val="24"/>
                <w:szCs w:val="24"/>
              </w:rPr>
              <w:t>contains the physical layer (PHY) and data link layer (DLL) specification for the G3 PLC narrowband orthogonal frequency division multiplexing (OFDM) power line communication transceivers, for communications via alternating current and direct current electric power lines over frequencies below 500 kHz. The control parameters that determine spectral content, power spectral density (PSD) mask requirements, and the set of tools and procedures to support the measurement and reduction of the transmit PSD can be found in Recommendation ITU-T G.9901. This Recommendation adds several corrections of and improvements to the PHY, the DLL, and the routing parts of the specification. It also integrates Amendment 1 to Recommendation ITU-T G.9903 (2014), adding support for coexistence with other narrowband PLC technologies via the preamble-based coexistence mechanism specified in clause 10 of IEEE 1901.2</w:t>
            </w:r>
            <w:r w:rsidR="00A11163" w:rsidRPr="004567E2">
              <w:rPr>
                <w:rFonts w:ascii="Times New Roman" w:hAnsi="Times New Roman" w:cs="Times New Roman"/>
                <w:sz w:val="24"/>
                <w:szCs w:val="24"/>
              </w:rPr>
              <w: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31" w:history="1">
              <w:r w:rsidR="00A11163" w:rsidRPr="004567E2">
                <w:rPr>
                  <w:rStyle w:val="Hyperlink"/>
                  <w:rFonts w:ascii="Times New Roman" w:hAnsi="Times New Roman" w:cs="Times New Roman"/>
                  <w:sz w:val="24"/>
                  <w:szCs w:val="24"/>
                </w:rPr>
                <w:t>Recommendation ITU-T G.9904 “Narrowband orthogonal frequency division multiplexing power line communication transceivers for PRIME networks”</w:t>
              </w:r>
            </w:hyperlink>
            <w:r w:rsidR="00A11163" w:rsidRPr="004567E2">
              <w:rPr>
                <w:rFonts w:ascii="Times New Roman" w:hAnsi="Times New Roman" w:cs="Times New Roman"/>
                <w:sz w:val="24"/>
                <w:szCs w:val="24"/>
              </w:rPr>
              <w:t xml:space="preserve"> contains the physical layer (PHY) and data link layer (DLL) specification for </w:t>
            </w:r>
            <w:r w:rsidR="00A11163" w:rsidRPr="004567E2">
              <w:rPr>
                <w:rFonts w:ascii="Times New Roman" w:hAnsi="Times New Roman" w:cs="Times New Roman"/>
                <w:sz w:val="24"/>
                <w:szCs w:val="24"/>
              </w:rPr>
              <w:lastRenderedPageBreak/>
              <w:t>PRIME narrowband orthogonal frequency division multiplexing (OFDM) power line communication transceivers for communications via alternating current and direct current electric power lines over frequencies in the CENELEC A band.</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32" w:history="1">
              <w:r w:rsidR="00A11163" w:rsidRPr="004567E2">
                <w:rPr>
                  <w:rStyle w:val="Hyperlink"/>
                  <w:rFonts w:ascii="Times New Roman" w:hAnsi="Times New Roman" w:cs="Times New Roman"/>
                  <w:sz w:val="24"/>
                  <w:szCs w:val="24"/>
                </w:rPr>
                <w:t>Recommendation ITU-T G.9958 “Generic architecture of home networks for energy management”</w:t>
              </w:r>
            </w:hyperlink>
            <w:r w:rsidR="00A11163" w:rsidRPr="004567E2">
              <w:rPr>
                <w:rFonts w:ascii="Times New Roman" w:hAnsi="Times New Roman" w:cs="Times New Roman"/>
                <w:sz w:val="24"/>
                <w:szCs w:val="24"/>
              </w:rPr>
              <w:t xml:space="preserve"> specifies functional definitions of components and networks to provide energy management services in home. It also specifies home network configurations and requirements for these services.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33" w:history="1">
              <w:r w:rsidR="00A11163" w:rsidRPr="004567E2">
                <w:rPr>
                  <w:rStyle w:val="Hyperlink"/>
                  <w:rFonts w:ascii="Times New Roman" w:hAnsi="Times New Roman" w:cs="Times New Roman"/>
                  <w:sz w:val="24"/>
                  <w:szCs w:val="24"/>
                </w:rPr>
                <w:t>Recommendation ITU-T G.9960 “Unified high-speed wireline-based home networking transceivers - System architecture and physical layer specification”</w:t>
              </w:r>
            </w:hyperlink>
            <w:r w:rsidR="00A11163" w:rsidRPr="004567E2">
              <w:rPr>
                <w:rFonts w:ascii="Times New Roman" w:hAnsi="Times New Roman" w:cs="Times New Roman"/>
                <w:sz w:val="24"/>
                <w:szCs w:val="24"/>
              </w:rPr>
              <w:t xml:space="preserve"> belongs to the family of ITU-T G.996x Recommendations. Recommendation ITU-T G.9960 specifies the system architecture and physical (PHY) layer for wireline-based home networking transceivers which are capable of operating over premises’ wiring, including inside telephone wiring, coaxial cable, and power-line wiring. It complements the data link layer (DLL) specification in Recommendation ITU-T G.9961, and the power spectral density (PSD) specification in Recommendation ITU-T G.9964.</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34" w:tooltip="Unified high-speed wireline-based home networking transceivers - Data link layer specification" w:history="1">
              <w:r w:rsidR="00A11163" w:rsidRPr="004567E2">
                <w:rPr>
                  <w:rStyle w:val="Hyperlink"/>
                  <w:rFonts w:ascii="Times New Roman" w:hAnsi="Times New Roman" w:cs="Times New Roman"/>
                  <w:sz w:val="24"/>
                  <w:szCs w:val="24"/>
                </w:rPr>
                <w:t>Recommendation ITU-T G.9961 “Unified high-speed wireline-based home networking transceivers - Data link layer specification”</w:t>
              </w:r>
            </w:hyperlink>
            <w:r w:rsidR="00A11163" w:rsidRPr="004567E2">
              <w:rPr>
                <w:rFonts w:ascii="Times New Roman" w:hAnsi="Times New Roman" w:cs="Times New Roman"/>
                <w:sz w:val="24"/>
                <w:szCs w:val="24"/>
              </w:rPr>
              <w:t xml:space="preserve"> belongs to the family of ITU-T G.996x Recommendations. Recommendation ITU-T G.9961 specifies the data link layer (DLL) for wireline-based home networking transceivers capable of operating over premises wiring including inside telephone wiring, coaxial cable, and power-line wiring. It complements the system architecture and physical (PHY) layer specification in Recommendation ITU-T G.9960, and the power spectral density (PSD) specification in Recommendation ITU-T G.9964.</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35" w:history="1">
              <w:r w:rsidR="00A11163" w:rsidRPr="004567E2">
                <w:rPr>
                  <w:rStyle w:val="Hyperlink"/>
                  <w:rFonts w:ascii="Times New Roman" w:hAnsi="Times New Roman" w:cs="Times New Roman"/>
                  <w:sz w:val="24"/>
                  <w:szCs w:val="24"/>
                </w:rPr>
                <w:t>Recommendation ITU-T G.9961 (2015) Amd.3 “Unified high-speed wire-line based home networking transceivers - Data link layer specification: Amendment 3”</w:t>
              </w:r>
            </w:hyperlink>
            <w:r w:rsidR="00A11163" w:rsidRPr="004567E2">
              <w:rPr>
                <w:rFonts w:ascii="Times New Roman" w:hAnsi="Times New Roman" w:cs="Times New Roman"/>
                <w:sz w:val="24"/>
                <w:szCs w:val="24"/>
              </w:rPr>
              <w:t xml:space="preserve"> (under approval) includes the addition of new capabilities to the Layer 2 configuration and management protocol (LCMP) and to the neighbouring domain interference mitigation (NDIM) mechanism. It also provides alignment of this </w:t>
            </w:r>
            <w:r w:rsidR="00A11163" w:rsidRPr="004567E2">
              <w:rPr>
                <w:rFonts w:ascii="Times New Roman" w:hAnsi="Times New Roman" w:cs="Times New Roman"/>
                <w:sz w:val="24"/>
                <w:szCs w:val="24"/>
              </w:rPr>
              <w:lastRenderedPageBreak/>
              <w:t>Recommendation to new Recommendation ITU-T G.9978 on secure admission in G.hn-based networks.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36" w:history="1">
              <w:r w:rsidR="00A11163" w:rsidRPr="004567E2">
                <w:rPr>
                  <w:rStyle w:val="Hyperlink"/>
                  <w:rFonts w:ascii="Times New Roman" w:hAnsi="Times New Roman" w:cs="Times New Roman"/>
                  <w:sz w:val="24"/>
                  <w:szCs w:val="24"/>
                </w:rPr>
                <w:t>Recommendation ITU-T G.9962 “Unified high-speed wire-line based home networking transceivers – Management specification”</w:t>
              </w:r>
            </w:hyperlink>
            <w:r w:rsidR="00A11163" w:rsidRPr="004567E2">
              <w:rPr>
                <w:rFonts w:ascii="Times New Roman" w:hAnsi="Times New Roman" w:cs="Times New Roman"/>
                <w:sz w:val="24"/>
                <w:szCs w:val="24"/>
              </w:rPr>
              <w:t xml:space="preserve"> specifies the physical and data link layer management for the ITU T G.996x series home networking transceiver specifications. It defines common management parameters and protocols for all ITU-T G.996x-series Recommendations for the purpose of device configuration, status and performance management, fault monitoring and diagnostics. It also provides management functionalities to coordinate multiple domains. It includes support for LCMP communication through the L1 and L6 interfaces.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37" w:tooltip="Unified high-speed wireline-based home networking transceivers - Multiple input/multiple output specification" w:history="1">
              <w:r w:rsidR="00A11163" w:rsidRPr="004567E2">
                <w:rPr>
                  <w:rStyle w:val="Hyperlink"/>
                  <w:rFonts w:ascii="Times New Roman" w:hAnsi="Times New Roman" w:cs="Times New Roman"/>
                  <w:sz w:val="24"/>
                  <w:szCs w:val="24"/>
                </w:rPr>
                <w:t>Recommendation ITU-T G.9963 “Unified high-speed wireline-based home networking transceivers - Multiple input/multiple output specification”</w:t>
              </w:r>
            </w:hyperlink>
            <w:r w:rsidR="00A11163" w:rsidRPr="004567E2">
              <w:rPr>
                <w:rFonts w:ascii="Times New Roman" w:hAnsi="Times New Roman" w:cs="Times New Roman"/>
                <w:sz w:val="24"/>
                <w:szCs w:val="24"/>
              </w:rPr>
              <w:t xml:space="preserve"> belongs to the family of ITU-T G.996x Recommendations. Recommendation ITU-T G.9963 specifies the additions and modifications to Recommendations ITU</w:t>
            </w:r>
            <w:r w:rsidR="00A11163" w:rsidRPr="004567E2">
              <w:rPr>
                <w:rFonts w:ascii="Times New Roman" w:hAnsi="Times New Roman" w:cs="Times New Roman"/>
                <w:sz w:val="24"/>
                <w:szCs w:val="24"/>
              </w:rPr>
              <w:noBreakHyphen/>
              <w:t>T G.9960 and ITU-T G.9961 that are needed for a multiple input multiple output (MIMO) home networking transceiver capable of operating over premises power-line wiring. MIMO transceivers are able to transmit and receive over three power-line conductors (phase, neutral and ground). This Recommendation also specifies the means by which transceivers that comply with ITU-T G.9960, ITU</w:t>
            </w:r>
            <w:r w:rsidR="00A11163" w:rsidRPr="004567E2">
              <w:rPr>
                <w:rFonts w:ascii="Times New Roman" w:hAnsi="Times New Roman" w:cs="Times New Roman"/>
                <w:sz w:val="24"/>
                <w:szCs w:val="24"/>
              </w:rPr>
              <w:noBreakHyphen/>
              <w:t>T G.9961 and ITU-T G.9963 interoperate when used on the same wires.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38" w:tooltip="Unified high-speed wireline-based home networking transceivers – Power spectral density specification" w:history="1">
              <w:r w:rsidR="00A11163" w:rsidRPr="004567E2">
                <w:rPr>
                  <w:rStyle w:val="Hyperlink"/>
                  <w:rFonts w:ascii="Times New Roman" w:hAnsi="Times New Roman" w:cs="Times New Roman"/>
                  <w:sz w:val="24"/>
                  <w:szCs w:val="24"/>
                </w:rPr>
                <w:t>Recommendation ITU-T G.9964 “Unified high-speed wireline-based home networking transceivers – Power spectral density specification”</w:t>
              </w:r>
            </w:hyperlink>
            <w:r w:rsidR="00A11163" w:rsidRPr="004567E2">
              <w:rPr>
                <w:rFonts w:ascii="Times New Roman" w:hAnsi="Times New Roman" w:cs="Times New Roman"/>
                <w:sz w:val="24"/>
                <w:szCs w:val="24"/>
              </w:rPr>
              <w:t xml:space="preserve"> specifies the control parameters that determine spectral content, power spectral density (PSD) mask requirements, a set of tools to support reduction of the transmit PSD, means to measure this PSD for transmission over telephone wiring, power line wiring and coaxial cable, as well as the allowable total transmit power into a specified termination impedance. It complements the system architecture and physical layer (PHY) specification in Recommendation ITU-T G.9960, and the data link layer </w:t>
            </w:r>
            <w:r w:rsidR="00A11163" w:rsidRPr="004567E2">
              <w:rPr>
                <w:rFonts w:ascii="Times New Roman" w:hAnsi="Times New Roman" w:cs="Times New Roman"/>
                <w:sz w:val="24"/>
                <w:szCs w:val="24"/>
              </w:rPr>
              <w:lastRenderedPageBreak/>
              <w:t>(DLL) specification in Recommendation ITU-T G.9961, as well as the modifications and additions to these Recommendations specifying the multiple input/multiple output (MIMO) home networking transceiver in Recommendation ITU-T G.9963.</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39" w:history="1">
              <w:r w:rsidR="00A11163" w:rsidRPr="004567E2">
                <w:rPr>
                  <w:rStyle w:val="Hyperlink"/>
                  <w:rFonts w:ascii="Times New Roman" w:hAnsi="Times New Roman" w:cs="Times New Roman"/>
                  <w:bCs/>
                  <w:iCs/>
                  <w:sz w:val="24"/>
                  <w:szCs w:val="24"/>
                </w:rPr>
                <w:t>Recommendation ITU-T G.9978 “Secure admission in G.hn network”</w:t>
              </w:r>
            </w:hyperlink>
            <w:r w:rsidR="00A11163" w:rsidRPr="004567E2">
              <w:rPr>
                <w:rFonts w:ascii="Times New Roman" w:hAnsi="Times New Roman" w:cs="Times New Roman"/>
                <w:bCs/>
                <w:iCs/>
                <w:sz w:val="24"/>
                <w:szCs w:val="24"/>
              </w:rPr>
              <w:t xml:space="preserve"> specifies the different secure admission methods for a node to enter a G.hn domain, including MAC authorization-based pairing, push button pairing and passphrase-based secure admission.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Style w:val="Hyperlink"/>
                <w:rFonts w:ascii="Times New Roman" w:hAnsi="Times New Roman" w:cs="Times New Roman"/>
                <w:bCs/>
                <w:iCs/>
                <w:sz w:val="24"/>
                <w:szCs w:val="24"/>
              </w:rPr>
            </w:pPr>
            <w:hyperlink r:id="rId540" w:history="1">
              <w:r w:rsidR="00A11163" w:rsidRPr="004567E2">
                <w:rPr>
                  <w:rStyle w:val="Hyperlink"/>
                  <w:rFonts w:ascii="Times New Roman" w:hAnsi="Times New Roman" w:cs="Times New Roman"/>
                  <w:bCs/>
                  <w:iCs/>
                  <w:sz w:val="24"/>
                  <w:szCs w:val="24"/>
                </w:rPr>
                <w:t>Recommendation ITU-T G.9979 “Implementation of the generic mechanism in the IEEE 1905.1a-2014 Standard to include applicable ITU-T Recommendations”</w:t>
              </w:r>
            </w:hyperlink>
            <w:r w:rsidR="00A11163" w:rsidRPr="004567E2">
              <w:rPr>
                <w:rStyle w:val="Hyperlink"/>
                <w:rFonts w:ascii="Times New Roman" w:hAnsi="Times New Roman" w:cs="Times New Roman"/>
                <w:bCs/>
                <w:iCs/>
                <w:sz w:val="24"/>
                <w:szCs w:val="24"/>
              </w:rPr>
              <w:t xml:space="preserve"> </w:t>
            </w:r>
            <w:r w:rsidR="00A11163" w:rsidRPr="004567E2">
              <w:rPr>
                <w:rStyle w:val="Hyperlink"/>
                <w:rFonts w:ascii="Times New Roman" w:hAnsi="Times New Roman" w:cs="Times New Roman"/>
                <w:bCs/>
                <w:iCs/>
                <w:color w:val="auto"/>
                <w:sz w:val="24"/>
                <w:szCs w:val="24"/>
                <w:u w:val="none"/>
              </w:rPr>
              <w:t>specifies the necessary details for including network transceivers defined in ITU-T Recommendations as supported home networking technologies under the abstraction layer defined by IEEE 1905 technology.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41" w:history="1">
              <w:r w:rsidR="00A11163" w:rsidRPr="004567E2">
                <w:rPr>
                  <w:rStyle w:val="Hyperlink"/>
                  <w:rFonts w:ascii="Times New Roman" w:hAnsi="Times New Roman" w:cs="Times New Roman"/>
                  <w:bCs/>
                  <w:iCs/>
                  <w:sz w:val="24"/>
                  <w:szCs w:val="24"/>
                </w:rPr>
                <w:t>Recommendation ITU-T G.9973 “Protocol for identifying home network topology”</w:t>
              </w:r>
            </w:hyperlink>
            <w:r w:rsidR="00A11163" w:rsidRPr="004567E2">
              <w:rPr>
                <w:rFonts w:ascii="Times New Roman" w:hAnsi="Times New Roman" w:cs="Times New Roman"/>
                <w:bCs/>
                <w:iCs/>
                <w:sz w:val="24"/>
                <w:szCs w:val="24"/>
              </w:rPr>
              <w:t xml:space="preserve"> specifies the configuration management protocol. This protocol is used to manage devices in the IP home network for the purpose of showing users the Layer 2 home network topology. Recommendation ITU-T G.9973 also enables fault management with utilizing device information which the local agent of the device manages. They are described in TTC JJ-300.00.</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42" w:history="1">
              <w:r w:rsidR="00A11163" w:rsidRPr="004567E2">
                <w:rPr>
                  <w:rStyle w:val="Hyperlink"/>
                  <w:rFonts w:ascii="Times New Roman" w:hAnsi="Times New Roman" w:cs="Times New Roman"/>
                  <w:bCs/>
                  <w:iCs/>
                  <w:sz w:val="24"/>
                  <w:szCs w:val="24"/>
                </w:rPr>
                <w:t>Recommendation ITU-T L.108 “Optical fibre cable elements for microduct blowing-installation application”</w:t>
              </w:r>
            </w:hyperlink>
            <w:r w:rsidR="00A11163" w:rsidRPr="004567E2">
              <w:rPr>
                <w:rFonts w:ascii="Times New Roman" w:hAnsi="Times New Roman" w:cs="Times New Roman"/>
                <w:bCs/>
                <w:iCs/>
                <w:sz w:val="24"/>
                <w:szCs w:val="24"/>
              </w:rPr>
              <w:t xml:space="preserve"> describes characteristics, construction and test methods for microduct fibre units and microduct cables to be used with the blowing installation technique. The cable characteristics required for a cable to perform appropriately are described. Also, a method is described for determining whether or not the cable has the required characteristics. The required conditions may differ according to the installation environment; detailed test conditions must be agreed upon between a user and a manufacturer for the environment in which a cable is to be used.</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Style w:val="Hyperlink"/>
                <w:rFonts w:ascii="Times New Roman" w:hAnsi="Times New Roman" w:cs="Times New Roman"/>
                <w:bCs/>
                <w:iCs/>
                <w:sz w:val="24"/>
                <w:szCs w:val="24"/>
              </w:rPr>
            </w:pPr>
            <w:hyperlink r:id="rId543" w:history="1">
              <w:r w:rsidR="00A11163" w:rsidRPr="004567E2">
                <w:rPr>
                  <w:rStyle w:val="Hyperlink"/>
                  <w:rFonts w:ascii="Times New Roman" w:hAnsi="Times New Roman" w:cs="Times New Roman"/>
                  <w:bCs/>
                  <w:iCs/>
                  <w:sz w:val="24"/>
                  <w:szCs w:val="24"/>
                </w:rPr>
                <w:t>Recommendation ITU-T L.109 “Construction of optical/metallic hybrid cables”</w:t>
              </w:r>
            </w:hyperlink>
            <w:r w:rsidR="00A11163" w:rsidRPr="004567E2">
              <w:rPr>
                <w:rStyle w:val="Hyperlink"/>
                <w:rFonts w:ascii="Times New Roman" w:hAnsi="Times New Roman" w:cs="Times New Roman"/>
                <w:bCs/>
                <w:iCs/>
                <w:sz w:val="24"/>
                <w:szCs w:val="24"/>
              </w:rPr>
              <w:t xml:space="preserve"> </w:t>
            </w:r>
            <w:r w:rsidR="00A11163" w:rsidRPr="004567E2">
              <w:rPr>
                <w:rStyle w:val="Hyperlink"/>
                <w:rFonts w:ascii="Times New Roman" w:hAnsi="Times New Roman" w:cs="Times New Roman"/>
                <w:bCs/>
                <w:iCs/>
                <w:color w:val="auto"/>
                <w:sz w:val="24"/>
                <w:szCs w:val="24"/>
                <w:u w:val="none"/>
              </w:rPr>
              <w:lastRenderedPageBreak/>
              <w:t>describes cable construction and provides guidance for the use of this type of cable. Technical requirements may differ according to the installation environment. Environmental issues and test methods for cable characteristics are described in other L-series Recommendations.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44" w:history="1">
              <w:r w:rsidR="00A11163" w:rsidRPr="004567E2">
                <w:rPr>
                  <w:rStyle w:val="Hyperlink"/>
                  <w:rFonts w:ascii="Times New Roman" w:hAnsi="Times New Roman" w:cs="Times New Roman"/>
                  <w:bCs/>
                  <w:iCs/>
                  <w:sz w:val="24"/>
                  <w:szCs w:val="24"/>
                </w:rPr>
                <w:t>Recommendation ITU-T L.110 “Optical fibre cables for direct surface application”</w:t>
              </w:r>
            </w:hyperlink>
            <w:r w:rsidR="00A11163" w:rsidRPr="004567E2">
              <w:rPr>
                <w:rFonts w:ascii="Times New Roman" w:hAnsi="Times New Roman" w:cs="Times New Roman"/>
                <w:bCs/>
                <w:iCs/>
                <w:sz w:val="24"/>
                <w:szCs w:val="24"/>
              </w:rPr>
              <w:t xml:space="preserve"> describes characteristics, construction and test methods of optical fibre cables for direct surface application. First, in order that an optical fibre demonstrates sufficient performance, characteristics that a cable should have are described. Then, the method of examining whether the cable has the required characteristic is described.</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45" w:history="1">
              <w:r w:rsidR="00A11163" w:rsidRPr="004567E2">
                <w:rPr>
                  <w:rStyle w:val="Hyperlink"/>
                  <w:rFonts w:ascii="Times New Roman" w:hAnsi="Times New Roman" w:cs="Times New Roman"/>
                  <w:bCs/>
                  <w:iCs/>
                  <w:sz w:val="24"/>
                  <w:szCs w:val="24"/>
                </w:rPr>
                <w:t>Recommendation ITU-T L.156 “Air-assisted installation of optical fibre cable”</w:t>
              </w:r>
            </w:hyperlink>
            <w:r w:rsidR="00A11163" w:rsidRPr="004567E2">
              <w:rPr>
                <w:rFonts w:ascii="Times New Roman" w:hAnsi="Times New Roman" w:cs="Times New Roman"/>
                <w:bCs/>
                <w:iCs/>
                <w:sz w:val="24"/>
                <w:szCs w:val="24"/>
              </w:rPr>
              <w:t xml:space="preserve"> describes air-assisted methods for installation of optical fibre cables in ducts. These methods can be used to install microcables into microducts, or largercables into ducts or conduits. Installing conditions and equipment required should be different in each case.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Style w:val="Hyperlink"/>
                <w:rFonts w:ascii="Times New Roman" w:hAnsi="Times New Roman" w:cs="Times New Roman"/>
                <w:bCs/>
                <w:iCs/>
                <w:color w:val="auto"/>
                <w:sz w:val="24"/>
                <w:szCs w:val="24"/>
                <w:u w:val="none"/>
              </w:rPr>
            </w:pPr>
            <w:hyperlink r:id="rId546" w:history="1">
              <w:r w:rsidR="00A11163" w:rsidRPr="004567E2">
                <w:rPr>
                  <w:rStyle w:val="Hyperlink"/>
                  <w:rFonts w:ascii="Times New Roman" w:hAnsi="Times New Roman" w:cs="Times New Roman"/>
                  <w:bCs/>
                  <w:iCs/>
                  <w:sz w:val="24"/>
                  <w:szCs w:val="24"/>
                </w:rPr>
                <w:t>Recommendation L.163 “Criteria for optical fibre cable installation with minimal existing infrastructure”</w:t>
              </w:r>
            </w:hyperlink>
            <w:r w:rsidR="00A11163" w:rsidRPr="004567E2">
              <w:rPr>
                <w:rStyle w:val="Hyperlink"/>
                <w:rFonts w:ascii="Times New Roman" w:hAnsi="Times New Roman" w:cs="Times New Roman"/>
                <w:bCs/>
                <w:iCs/>
                <w:sz w:val="24"/>
                <w:szCs w:val="24"/>
              </w:rPr>
              <w:t xml:space="preserve"> </w:t>
            </w:r>
            <w:r w:rsidR="00A11163" w:rsidRPr="004567E2">
              <w:rPr>
                <w:rStyle w:val="Hyperlink"/>
                <w:rFonts w:ascii="Times New Roman" w:hAnsi="Times New Roman" w:cs="Times New Roman"/>
                <w:bCs/>
                <w:iCs/>
                <w:color w:val="auto"/>
                <w:sz w:val="24"/>
                <w:szCs w:val="24"/>
                <w:u w:val="none"/>
              </w:rPr>
              <w:t>describes criteria for the installation of optical fibre cables defined in [ITU-T L.110] in remote areas with lack of usual infrastructure for installation including the procedures of cable-route planning, cable selection, cable-installation scheme selection, cable tension and temperature consideration, and the handling, bend protection and river/lake closing of the cable together with pilot tests and training for installation.</w:t>
            </w:r>
          </w:p>
          <w:p w:rsidR="00A11163" w:rsidRPr="004567E2" w:rsidRDefault="00A11163" w:rsidP="00A11163">
            <w:pPr>
              <w:widowControl w:val="0"/>
              <w:rPr>
                <w:rStyle w:val="Hyperlink"/>
                <w:rFonts w:ascii="Times New Roman" w:hAnsi="Times New Roman" w:cs="Times New Roman"/>
                <w:bCs/>
                <w:iCs/>
                <w:sz w:val="24"/>
                <w:szCs w:val="24"/>
              </w:rPr>
            </w:pPr>
            <w:r w:rsidRPr="004567E2">
              <w:rPr>
                <w:rStyle w:val="Hyperlink"/>
                <w:rFonts w:ascii="Times New Roman" w:hAnsi="Times New Roman" w:cs="Times New Roman"/>
                <w:bCs/>
                <w:iCs/>
                <w:color w:val="auto"/>
                <w:sz w:val="24"/>
                <w:szCs w:val="24"/>
                <w:u w:val="none"/>
              </w:rPr>
              <w:t>This Recommendation also describes how to mitigate the considerable risks and/or issues to which the optical fibre cable may be exposed when infrastructures are minimal during installation, maintenance and operation procedures.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47" w:history="1">
              <w:r w:rsidR="00A11163" w:rsidRPr="004567E2">
                <w:rPr>
                  <w:rStyle w:val="Hyperlink"/>
                  <w:rFonts w:ascii="Times New Roman" w:hAnsi="Times New Roman" w:cs="Times New Roman"/>
                  <w:bCs/>
                  <w:iCs/>
                  <w:sz w:val="24"/>
                  <w:szCs w:val="24"/>
                </w:rPr>
                <w:t>Recommendation ITU-T L.206 “Requirements for passive optical nodes: Outdoor optical cross-connect cabinets”</w:t>
              </w:r>
            </w:hyperlink>
            <w:r w:rsidR="00A11163" w:rsidRPr="004567E2">
              <w:rPr>
                <w:rFonts w:ascii="Times New Roman" w:hAnsi="Times New Roman" w:cs="Times New Roman"/>
                <w:bCs/>
                <w:iCs/>
                <w:sz w:val="24"/>
                <w:szCs w:val="24"/>
              </w:rPr>
              <w:t xml:space="preserve"> refers to outdoor optical cross-connect cabinets deployed as passive optical nodes in outdoor environments. It deals with the cabinet housing, internal fibre management system, cable attachment and </w:t>
            </w:r>
            <w:r w:rsidR="00A11163" w:rsidRPr="004567E2">
              <w:rPr>
                <w:rFonts w:ascii="Times New Roman" w:hAnsi="Times New Roman" w:cs="Times New Roman"/>
                <w:bCs/>
                <w:iCs/>
                <w:sz w:val="24"/>
                <w:szCs w:val="24"/>
              </w:rPr>
              <w:lastRenderedPageBreak/>
              <w:t>termination system, and specifies the mechanical and environmental characteristics as well.</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48" w:history="1">
              <w:r w:rsidR="00A11163" w:rsidRPr="004567E2">
                <w:rPr>
                  <w:rStyle w:val="Hyperlink"/>
                  <w:rFonts w:ascii="Times New Roman" w:hAnsi="Times New Roman" w:cs="Times New Roman"/>
                  <w:bCs/>
                  <w:iCs/>
                  <w:sz w:val="24"/>
                  <w:szCs w:val="24"/>
                </w:rPr>
                <w:t>Recommendation ITU-T L.207 “Passive node elements with automated ID tag detection”</w:t>
              </w:r>
            </w:hyperlink>
            <w:r w:rsidR="00A11163" w:rsidRPr="004567E2">
              <w:rPr>
                <w:rFonts w:ascii="Times New Roman" w:hAnsi="Times New Roman" w:cs="Times New Roman"/>
                <w:bCs/>
                <w:iCs/>
                <w:sz w:val="24"/>
                <w:szCs w:val="24"/>
              </w:rPr>
              <w:t xml:space="preserve"> focuses on hardware aspects on this type of passive node elements and to describe the general features, characterization and performance specifications for node elements with automated ID tag detection, including the environmental conditions, functional requirements, performance requirements, and mechanical and electrical/optical interface requirements. A product characterization checklist is included in the Appendix III.</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Style w:val="Hyperlink"/>
                <w:rFonts w:ascii="Times New Roman" w:hAnsi="Times New Roman" w:cs="Times New Roman"/>
                <w:bCs/>
                <w:iCs/>
                <w:sz w:val="24"/>
                <w:szCs w:val="24"/>
              </w:rPr>
            </w:pPr>
            <w:hyperlink r:id="rId549" w:history="1">
              <w:r w:rsidR="00A11163" w:rsidRPr="004567E2">
                <w:rPr>
                  <w:rStyle w:val="Hyperlink"/>
                  <w:rFonts w:ascii="Times New Roman" w:hAnsi="Times New Roman" w:cs="Times New Roman"/>
                  <w:bCs/>
                  <w:iCs/>
                  <w:sz w:val="24"/>
                  <w:szCs w:val="24"/>
                </w:rPr>
                <w:t>Recommendation ITU-T L.314 “Optical fibre identification for the maintenance of optical access networks”</w:t>
              </w:r>
            </w:hyperlink>
            <w:r w:rsidR="00A11163" w:rsidRPr="004567E2">
              <w:rPr>
                <w:rStyle w:val="Hyperlink"/>
                <w:rFonts w:ascii="Times New Roman" w:hAnsi="Times New Roman" w:cs="Times New Roman"/>
                <w:bCs/>
                <w:iCs/>
                <w:sz w:val="24"/>
                <w:szCs w:val="24"/>
              </w:rPr>
              <w:t xml:space="preserve"> </w:t>
            </w:r>
            <w:r w:rsidR="00A11163" w:rsidRPr="004567E2">
              <w:rPr>
                <w:rStyle w:val="Hyperlink"/>
                <w:rFonts w:ascii="Times New Roman" w:hAnsi="Times New Roman" w:cs="Times New Roman"/>
                <w:bCs/>
                <w:iCs/>
                <w:color w:val="auto"/>
                <w:sz w:val="24"/>
                <w:szCs w:val="24"/>
                <w:u w:val="none"/>
              </w:rPr>
              <w:t>deals with important considerations with respect to the requirements for an optical fibre identification technique used for construction and maintenance work in optical access networks by detection of leaky light waves.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50" w:history="1">
              <w:r w:rsidR="00A11163" w:rsidRPr="004567E2">
                <w:rPr>
                  <w:rStyle w:val="Hyperlink"/>
                  <w:rFonts w:ascii="Times New Roman" w:hAnsi="Times New Roman" w:cs="Times New Roman"/>
                  <w:bCs/>
                  <w:iCs/>
                  <w:sz w:val="24"/>
                  <w:szCs w:val="24"/>
                </w:rPr>
                <w:t>Recommendation ITU-T L.315 “Water detection in underground closures for the maintenance of optical fibre cable networks with optical monitoring system”</w:t>
              </w:r>
            </w:hyperlink>
            <w:r w:rsidR="00A11163" w:rsidRPr="004567E2">
              <w:rPr>
                <w:rFonts w:ascii="Times New Roman" w:hAnsi="Times New Roman" w:cs="Times New Roman"/>
                <w:bCs/>
                <w:iCs/>
                <w:sz w:val="24"/>
                <w:szCs w:val="24"/>
              </w:rPr>
              <w:t xml:space="preserve"> describes the methodology for water detection in splice closures/cabinets, the fundamental requirements for a water sensor and technical considerations as regards the OTDR based water ingress monitoring and location system design.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51" w:history="1">
              <w:r w:rsidR="00A11163" w:rsidRPr="004567E2">
                <w:rPr>
                  <w:rStyle w:val="Hyperlink"/>
                  <w:rFonts w:ascii="Times New Roman" w:hAnsi="Times New Roman" w:cs="Times New Roman"/>
                  <w:bCs/>
                  <w:iCs/>
                  <w:sz w:val="24"/>
                  <w:szCs w:val="24"/>
                </w:rPr>
                <w:t>Recommendation ITU-T L.404 “Field mountable single-mode optical fibre connectors”</w:t>
              </w:r>
            </w:hyperlink>
            <w:r w:rsidR="00A11163" w:rsidRPr="004567E2">
              <w:rPr>
                <w:rFonts w:ascii="Times New Roman" w:hAnsi="Times New Roman" w:cs="Times New Roman"/>
                <w:bCs/>
                <w:iCs/>
                <w:sz w:val="24"/>
                <w:szCs w:val="24"/>
              </w:rPr>
              <w:t xml:space="preserve"> describes the main features of field mountable single-mode optical fibre connectors, defines requirements for their optical, mechanical and environmental characteristics and lists the main test methods. Further, this Recommendation gives a general description of the basic principles of operation and of technologies of fabrication of field mountable single-mode optical fibre connectors.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52" w:history="1">
              <w:r w:rsidR="00A11163" w:rsidRPr="004567E2">
                <w:rPr>
                  <w:rStyle w:val="Hyperlink"/>
                  <w:rFonts w:ascii="Times New Roman" w:hAnsi="Times New Roman" w:cs="Times New Roman"/>
                  <w:bCs/>
                  <w:iCs/>
                  <w:sz w:val="24"/>
                  <w:szCs w:val="24"/>
                </w:rPr>
                <w:t>Recommendation ITU-T L.430/L.28 “</w:t>
              </w:r>
              <w:r w:rsidR="00A11163" w:rsidRPr="004567E2">
                <w:rPr>
                  <w:rStyle w:val="Hyperlink"/>
                  <w:rFonts w:ascii="Times New Roman" w:hAnsi="Times New Roman" w:cs="Times New Roman"/>
                  <w:sz w:val="24"/>
                  <w:szCs w:val="24"/>
                </w:rPr>
                <w:t>External additional protection for marinized terrestrial cables</w:t>
              </w:r>
              <w:r w:rsidR="00A11163" w:rsidRPr="004567E2">
                <w:rPr>
                  <w:rStyle w:val="Hyperlink"/>
                  <w:rFonts w:ascii="Times New Roman" w:hAnsi="Times New Roman" w:cs="Times New Roman"/>
                  <w:bCs/>
                  <w:iCs/>
                  <w:sz w:val="24"/>
                  <w:szCs w:val="24"/>
                </w:rPr>
                <w:t>”</w:t>
              </w:r>
            </w:hyperlink>
            <w:r w:rsidR="00A11163" w:rsidRPr="004567E2">
              <w:rPr>
                <w:rFonts w:ascii="Times New Roman" w:hAnsi="Times New Roman" w:cs="Times New Roman"/>
                <w:bCs/>
                <w:iCs/>
                <w:sz w:val="24"/>
                <w:szCs w:val="24"/>
              </w:rPr>
              <w:t xml:space="preserve"> </w:t>
            </w:r>
            <w:r w:rsidR="00A11163" w:rsidRPr="004567E2">
              <w:rPr>
                <w:rFonts w:ascii="Times New Roman" w:hAnsi="Times New Roman" w:cs="Times New Roman"/>
                <w:sz w:val="24"/>
                <w:szCs w:val="24"/>
              </w:rPr>
              <w:t>describes the external protection devices which can be utilized during/after the laying or during/after the reparation of Marinized Terrestrial Cables (MTC).</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53" w:history="1">
              <w:r w:rsidR="00A11163" w:rsidRPr="004567E2">
                <w:rPr>
                  <w:rStyle w:val="Hyperlink"/>
                  <w:rFonts w:ascii="Times New Roman" w:hAnsi="Times New Roman" w:cs="Times New Roman"/>
                  <w:bCs/>
                  <w:sz w:val="24"/>
                  <w:szCs w:val="24"/>
                </w:rPr>
                <w:t>Recommendation ITU-T L.431/L.29 “</w:t>
              </w:r>
              <w:r w:rsidR="00A11163" w:rsidRPr="004567E2">
                <w:rPr>
                  <w:rStyle w:val="Hyperlink"/>
                  <w:rFonts w:ascii="Times New Roman" w:hAnsi="Times New Roman" w:cs="Times New Roman"/>
                  <w:sz w:val="24"/>
                  <w:szCs w:val="24"/>
                </w:rPr>
                <w:t>As-laid report and maintenance/repair log for marinized terrestrial cable installation</w:t>
              </w:r>
              <w:r w:rsidR="00A11163" w:rsidRPr="004567E2">
                <w:rPr>
                  <w:rStyle w:val="Hyperlink"/>
                  <w:rFonts w:ascii="Times New Roman" w:hAnsi="Times New Roman" w:cs="Times New Roman"/>
                  <w:bCs/>
                  <w:sz w:val="24"/>
                  <w:szCs w:val="24"/>
                </w:rPr>
                <w:t>”</w:t>
              </w:r>
            </w:hyperlink>
            <w:r w:rsidR="00A11163" w:rsidRPr="004567E2">
              <w:rPr>
                <w:rStyle w:val="Hyperlink"/>
                <w:rFonts w:ascii="Times New Roman" w:hAnsi="Times New Roman" w:cs="Times New Roman"/>
                <w:bCs/>
                <w:sz w:val="24"/>
                <w:szCs w:val="24"/>
              </w:rPr>
              <w:t xml:space="preserve"> </w:t>
            </w:r>
            <w:r w:rsidR="00A11163" w:rsidRPr="004567E2">
              <w:rPr>
                <w:rFonts w:ascii="Times New Roman" w:hAnsi="Times New Roman" w:cs="Times New Roman"/>
                <w:sz w:val="24"/>
                <w:szCs w:val="24"/>
              </w:rPr>
              <w:t>describes the documentation/information that Companies, involved in the installation, maintenance/repair of Marinized Terrestrial Cables, should provide to the Purchasers.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54" w:history="1">
              <w:r w:rsidR="00A11163" w:rsidRPr="004567E2">
                <w:rPr>
                  <w:rStyle w:val="Hyperlink"/>
                  <w:rFonts w:ascii="Times New Roman" w:hAnsi="Times New Roman" w:cs="Times New Roman"/>
                  <w:bCs/>
                  <w:sz w:val="24"/>
                  <w:szCs w:val="24"/>
                </w:rPr>
                <w:t>Recommendation ITU-T L.432/L.30 “Markers on marinized terrestrial cables”</w:t>
              </w:r>
            </w:hyperlink>
            <w:r w:rsidR="00A11163" w:rsidRPr="004567E2">
              <w:rPr>
                <w:rStyle w:val="Hyperlink"/>
                <w:rFonts w:ascii="Times New Roman" w:hAnsi="Times New Roman" w:cs="Times New Roman"/>
                <w:bCs/>
                <w:sz w:val="24"/>
                <w:szCs w:val="24"/>
              </w:rPr>
              <w:t xml:space="preserve"> </w:t>
            </w:r>
            <w:r w:rsidR="00A11163" w:rsidRPr="004567E2">
              <w:rPr>
                <w:rFonts w:ascii="Times New Roman" w:hAnsi="Times New Roman" w:cs="Times New Roman"/>
                <w:sz w:val="24"/>
                <w:szCs w:val="24"/>
              </w:rPr>
              <w:t>describes the types of markers that can be applied on marinized terrestrial cables (MTC) and related land cables (considered as part of MTC). Moreover, markers also warn of approaching joints, transitions and/or any relevant variation on the cable that can be useful for future inspections, cable protection and/or repairing. Both the materials and colours used for markers and their application points, are described.</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55" w:history="1">
              <w:r w:rsidR="00A11163" w:rsidRPr="004567E2">
                <w:rPr>
                  <w:rStyle w:val="Hyperlink"/>
                  <w:rFonts w:ascii="Times New Roman" w:hAnsi="Times New Roman" w:cs="Times New Roman"/>
                  <w:sz w:val="24"/>
                  <w:szCs w:val="24"/>
                </w:rPr>
                <w:t>Recommendation ITU-T L.433/L.54 “Splice closure for marinized terrestrial cables (MTC)”</w:t>
              </w:r>
            </w:hyperlink>
            <w:r w:rsidR="00A11163" w:rsidRPr="004567E2">
              <w:rPr>
                <w:rFonts w:ascii="Times New Roman" w:hAnsi="Times New Roman" w:cs="Times New Roman"/>
                <w:sz w:val="24"/>
                <w:szCs w:val="24"/>
              </w:rPr>
              <w:t xml:space="preserve"> refers to both the design and the main characteristics that an underwater splice closure for MTC should have in order to be suitable for this application, as well as to guarantee the expected lifetime of the whole transmission link.This Recommendation provides the tests for characterization and evaluation of the underwater splice closures performance, including mechanical integrity and optical stability of the product simulating the effect of the environment (water), as well as interventions related to installation and network maintenance.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56" w:history="1">
              <w:r w:rsidR="00A11163" w:rsidRPr="004567E2">
                <w:rPr>
                  <w:rStyle w:val="Hyperlink"/>
                  <w:rFonts w:ascii="Times New Roman" w:hAnsi="Times New Roman" w:cs="Times New Roman"/>
                  <w:sz w:val="24"/>
                  <w:szCs w:val="24"/>
                </w:rPr>
                <w:t>Recommendation ITU-T L.434/L.55 “Digital database for marine cables and pipelines”</w:t>
              </w:r>
            </w:hyperlink>
            <w:r w:rsidR="00A11163" w:rsidRPr="004567E2">
              <w:rPr>
                <w:rFonts w:ascii="Times New Roman" w:hAnsi="Times New Roman" w:cs="Times New Roman"/>
                <w:sz w:val="24"/>
                <w:szCs w:val="24"/>
              </w:rPr>
              <w:t xml:space="preserve"> describes the nature of the information regarding marine cables and pipelines that should be maintained by National or Regional government agencies which are responsible for marine shorelines, and the cable or pipeline installations that may either be present or added. Information about marine cable and pipeline installations can affect the cost of future installations or maintenance, including their environmental impact. At present, there is no global authority to maintain such information and the responsibility rests with individual countries. Given that information from multiple shoreline databases is necessary in designing new cable links, a standardization of the information that should be maintained will assist all </w:t>
            </w:r>
            <w:r w:rsidR="00A11163" w:rsidRPr="004567E2">
              <w:rPr>
                <w:rFonts w:ascii="Times New Roman" w:hAnsi="Times New Roman" w:cs="Times New Roman"/>
                <w:sz w:val="24"/>
                <w:szCs w:val="24"/>
              </w:rPr>
              <w:lastRenderedPageBreak/>
              <w:t>participating parties. Such information is also useful in managing shoreline infrastructure when cables and pipelines are decommissioned, thereby allowing the possibility of reusing the space.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A11163" w:rsidP="00A11163">
            <w:pPr>
              <w:widowControl w:val="0"/>
              <w:rPr>
                <w:rFonts w:ascii="Times New Roman" w:hAnsi="Times New Roman" w:cs="Times New Roman"/>
                <w:sz w:val="24"/>
                <w:szCs w:val="24"/>
              </w:rPr>
            </w:pPr>
            <w:r w:rsidRPr="004567E2">
              <w:rPr>
                <w:rFonts w:ascii="Times New Roman" w:hAnsi="Times New Roman" w:cs="Times New Roman"/>
                <w:sz w:val="24"/>
                <w:szCs w:val="24"/>
              </w:rPr>
              <w:t xml:space="preserve">ITU-T </w:t>
            </w:r>
            <w:hyperlink r:id="rId557" w:history="1">
              <w:r w:rsidRPr="004567E2">
                <w:rPr>
                  <w:rStyle w:val="Hyperlink"/>
                  <w:rFonts w:ascii="Times New Roman" w:hAnsi="Times New Roman" w:cs="Times New Roman"/>
                  <w:sz w:val="24"/>
                  <w:szCs w:val="24"/>
                </w:rPr>
                <w:t>G Suppl. 41 “Design guidelines for optical fibre submarine cable systems”</w:t>
              </w:r>
            </w:hyperlink>
            <w:r w:rsidRPr="004567E2">
              <w:rPr>
                <w:rFonts w:ascii="Times New Roman" w:hAnsi="Times New Roman" w:cs="Times New Roman"/>
                <w:sz w:val="24"/>
                <w:szCs w:val="24"/>
              </w:rPr>
              <w:t xml:space="preserve"> describes design considerations for repeatered, repeaterless and optically amplified systems supporting SDH and OTN signals in optical submarine cable systems.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58" w:history="1">
              <w:r w:rsidR="00A11163" w:rsidRPr="004567E2">
                <w:rPr>
                  <w:rStyle w:val="Hyperlink"/>
                  <w:rFonts w:ascii="Times New Roman" w:hAnsi="Times New Roman" w:cs="Times New Roman"/>
                  <w:sz w:val="24"/>
                  <w:szCs w:val="24"/>
                </w:rPr>
                <w:t>ITU-T G.Suppl.51 “Passive optical network protection considerations”</w:t>
              </w:r>
            </w:hyperlink>
            <w:r w:rsidR="00A11163" w:rsidRPr="004567E2">
              <w:rPr>
                <w:rFonts w:ascii="Times New Roman" w:hAnsi="Times New Roman" w:cs="Times New Roman"/>
                <w:sz w:val="24"/>
                <w:szCs w:val="24"/>
              </w:rPr>
              <w:t xml:space="preserve"> collects this information, and guided by input from operators, distils it into use cases and methods that are recommended for adding redundancy and increasing the reliability of PON networks.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559" w:history="1">
              <w:r w:rsidR="00A11163" w:rsidRPr="004567E2">
                <w:rPr>
                  <w:rStyle w:val="Hyperlink"/>
                  <w:rFonts w:ascii="Times New Roman" w:hAnsi="Times New Roman" w:cs="Times New Roman"/>
                  <w:sz w:val="24"/>
                  <w:szCs w:val="24"/>
                </w:rPr>
                <w:t>ITU-T G.Suppl.58 “Optical transport network (OTN) module framer interfaces (MFIs)”</w:t>
              </w:r>
            </w:hyperlink>
            <w:r w:rsidR="00A11163" w:rsidRPr="004567E2">
              <w:rPr>
                <w:rFonts w:ascii="Times New Roman" w:hAnsi="Times New Roman" w:cs="Times New Roman"/>
                <w:sz w:val="24"/>
                <w:szCs w:val="24"/>
              </w:rPr>
              <w:t xml:space="preserve"> describes several interoperable component-to-component multilane interfaces (across different vendors) to connect an optical module (with or without digital signal processor (DSP)) to a framer device in a vendor's equipment supporting 40G, 100G or beyond 100G optical transport network (OTN) interfaces.</w:t>
            </w:r>
          </w:p>
          <w:p w:rsidR="00A11163" w:rsidRPr="004567E2" w:rsidRDefault="00A11163" w:rsidP="00A11163">
            <w:pPr>
              <w:pStyle w:val="ListParagraph"/>
              <w:widowControl w:val="0"/>
              <w:ind w:left="0"/>
              <w:contextualSpacing w:val="0"/>
              <w:rPr>
                <w:rFonts w:ascii="Times New Roman" w:hAnsi="Times New Roman" w:cs="Times New Roman"/>
                <w:sz w:val="24"/>
                <w:szCs w:val="24"/>
              </w:rPr>
            </w:pPr>
            <w:r w:rsidRPr="004567E2">
              <w:rPr>
                <w:rFonts w:ascii="Times New Roman" w:hAnsi="Times New Roman" w:cs="Times New Roman"/>
                <w:sz w:val="24"/>
                <w:szCs w:val="24"/>
              </w:rPr>
              <w:t>Only the structure of the 11G, 28G or 56G physical lanes of the different OTN module framer interface (MFI) examples is provided in this Supplement. For their electrical characteristics, the OIF-CEI IA specifications can be used.</w:t>
            </w:r>
          </w:p>
          <w:p w:rsidR="00A11163" w:rsidRPr="004567E2" w:rsidRDefault="00A11163" w:rsidP="00A11163">
            <w:pPr>
              <w:pStyle w:val="ListParagraph"/>
              <w:widowControl w:val="0"/>
              <w:ind w:left="0"/>
              <w:contextualSpacing w:val="0"/>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This Supplement relates to Recommendation ITU-T G.709/Y.1331.</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widowControl w:val="0"/>
              <w:rPr>
                <w:rStyle w:val="Hyperlink"/>
                <w:rFonts w:ascii="Times New Roman" w:hAnsi="Times New Roman" w:cs="Times New Roman"/>
                <w:color w:val="auto"/>
                <w:sz w:val="24"/>
                <w:szCs w:val="24"/>
                <w:u w:val="none"/>
              </w:rPr>
            </w:pPr>
            <w:hyperlink r:id="rId560" w:history="1">
              <w:r w:rsidR="00A11163" w:rsidRPr="004567E2">
                <w:rPr>
                  <w:rStyle w:val="Hyperlink"/>
                  <w:rFonts w:ascii="Times New Roman" w:hAnsi="Times New Roman" w:cs="Times New Roman"/>
                  <w:sz w:val="24"/>
                  <w:szCs w:val="24"/>
                </w:rPr>
                <w:t>ITU-T Technical Paper HSTP-IPTV-AM.101 (revised) “Guide on the use of ITU-T L-series Recommendations related to optical technologies for outside plant”</w:t>
              </w:r>
            </w:hyperlink>
            <w:r w:rsidR="00A11163" w:rsidRPr="004567E2">
              <w:rPr>
                <w:rFonts w:ascii="Times New Roman" w:hAnsi="Times New Roman" w:cs="Times New Roman"/>
                <w:sz w:val="24"/>
                <w:szCs w:val="24"/>
              </w:rPr>
              <w: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Style w:val="Hyperlink"/>
                <w:rFonts w:ascii="Times New Roman" w:hAnsi="Times New Roman" w:cs="Times New Roman"/>
                <w:color w:val="auto"/>
                <w:sz w:val="24"/>
                <w:szCs w:val="24"/>
                <w:u w:val="none"/>
              </w:rPr>
            </w:pPr>
            <w:hyperlink r:id="rId561" w:history="1">
              <w:r w:rsidR="00A11163" w:rsidRPr="004567E2">
                <w:rPr>
                  <w:rStyle w:val="Hyperlink"/>
                  <w:rFonts w:ascii="Times New Roman" w:hAnsi="Times New Roman" w:cs="Times New Roman"/>
                  <w:sz w:val="24"/>
                  <w:szCs w:val="24"/>
                </w:rPr>
                <w:t>Recommendation ITU-T F.743.5 “Framework and interfaces for multimedia content delivery network”</w:t>
              </w:r>
            </w:hyperlink>
            <w:r w:rsidR="00A11163" w:rsidRPr="004567E2">
              <w:rPr>
                <w:rStyle w:val="Hyperlink"/>
                <w:rFonts w:ascii="Times New Roman" w:hAnsi="Times New Roman" w:cs="Times New Roman"/>
                <w:color w:val="auto"/>
                <w:sz w:val="24"/>
                <w:szCs w:val="24"/>
                <w:u w:val="none"/>
              </w:rPr>
              <w:t xml:space="preserve"> identifies the problems when the content delivery network (CDN) technology and its related services are evolving from the traditional dedicated IPTV service to the converged multimedia service in an IP-based network environment. According to the prospect of design goals, this Recommendation defines a functional framework for multimedia CDN composed of four basic functional components with the connection of logical interfaces from the service point of view. As the initiation of multimedia CDN series of </w:t>
            </w:r>
            <w:r w:rsidR="00A11163" w:rsidRPr="004567E2">
              <w:rPr>
                <w:rStyle w:val="Hyperlink"/>
                <w:rFonts w:ascii="Times New Roman" w:hAnsi="Times New Roman" w:cs="Times New Roman"/>
                <w:color w:val="auto"/>
                <w:sz w:val="24"/>
                <w:szCs w:val="24"/>
                <w:u w:val="none"/>
              </w:rPr>
              <w:lastRenderedPageBreak/>
              <w:t>Recommendations, this Recommendation aims to define the fundamental components in a general CDN framework by analysing the tendency of development of CDN technology and multimedia services. With such Recommendation, it is beneficial for the CDN service provider and manufacturer to develop their CDN service and products to support more types of multimedia service in a more efficient way.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562" w:history="1">
              <w:r w:rsidR="00A11163" w:rsidRPr="004567E2">
                <w:rPr>
                  <w:rStyle w:val="Hyperlink"/>
                  <w:rFonts w:ascii="Times New Roman" w:hAnsi="Times New Roman" w:cs="Times New Roman"/>
                  <w:sz w:val="24"/>
                  <w:szCs w:val="24"/>
                </w:rPr>
                <w:t>Recommendation ITU-T F.743.6 “Service requirements for next generation content delivery networks”</w:t>
              </w:r>
            </w:hyperlink>
            <w:r w:rsidR="00A11163" w:rsidRPr="004567E2">
              <w:rPr>
                <w:rStyle w:val="Hyperlink"/>
                <w:rFonts w:ascii="Times New Roman" w:hAnsi="Times New Roman" w:cs="Times New Roman"/>
                <w:color w:val="auto"/>
                <w:sz w:val="24"/>
                <w:szCs w:val="24"/>
                <w:u w:val="none"/>
              </w:rPr>
              <w:t xml:space="preserve"> describes the use cases, service requirements and challenges of the next generation CDN. Based on the existing modes analysis for bringing CDN to the edge described in Appendix I, a new reference architecture named Access CDN which decouples common functions and customized service is proposed. This architecture enlarges the CDN industry space from a closed-loop system to a decoupled open platform, and provides the opportunity for a win-win relationship between CDN service providers and operators.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Fonts w:ascii="Times New Roman" w:hAnsi="Times New Roman" w:cs="Times New Roman"/>
                <w:sz w:val="24"/>
                <w:szCs w:val="24"/>
              </w:rPr>
            </w:pPr>
            <w:hyperlink r:id="rId563" w:history="1">
              <w:r w:rsidR="00A11163" w:rsidRPr="004567E2">
                <w:rPr>
                  <w:rStyle w:val="Hyperlink"/>
                  <w:rFonts w:ascii="Times New Roman" w:hAnsi="Times New Roman" w:cs="Times New Roman"/>
                  <w:sz w:val="24"/>
                  <w:szCs w:val="24"/>
                </w:rPr>
                <w:t>Recommendation ITU-T F.746.6 “Requirements for a name resolution service in information-centric networks”</w:t>
              </w:r>
            </w:hyperlink>
            <w:r w:rsidR="00A11163" w:rsidRPr="004567E2">
              <w:rPr>
                <w:rFonts w:ascii="Times New Roman" w:hAnsi="Times New Roman" w:cs="Times New Roman"/>
                <w:sz w:val="24"/>
                <w:szCs w:val="24"/>
              </w:rPr>
              <w:t xml:space="preserve"> describes the requirements for a flexible name resolution service and the capabilities of the name resolution service in information-centric networks (ICN). This name resolution service can flexibly support name resolution for any particular ICN instance and facilitate interoperation between different ICN instances with their own namespaces.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564" w:history="1">
              <w:r w:rsidR="00A11163" w:rsidRPr="004567E2">
                <w:rPr>
                  <w:rStyle w:val="Hyperlink"/>
                  <w:rFonts w:ascii="Times New Roman" w:hAnsi="Times New Roman" w:cs="Times New Roman"/>
                  <w:sz w:val="24"/>
                  <w:szCs w:val="24"/>
                </w:rPr>
                <w:t>Recommendation ITU-T F.746.7 “Metadata for intelligent question answering service”</w:t>
              </w:r>
            </w:hyperlink>
            <w:r w:rsidR="00A11163" w:rsidRPr="004567E2">
              <w:rPr>
                <w:rStyle w:val="Hyperlink"/>
                <w:rFonts w:ascii="Times New Roman" w:hAnsi="Times New Roman" w:cs="Times New Roman"/>
                <w:color w:val="auto"/>
                <w:sz w:val="24"/>
                <w:szCs w:val="24"/>
                <w:u w:val="none"/>
              </w:rPr>
              <w:t xml:space="preserve"> to define metadata for intelligent question answering service. This Recommendation defines the metadata to support intelligent question answering service described in [ITU-T F.746.3]. The scope of this Recommendation is focused on describing metadata for different functional components in intelligent question answering (QA) system: natural language processing function, question analysis function, candidate answer generation function, answer inference/generation function, and input and output function. This Recommendation also describes the general information flows to describe how the </w:t>
            </w:r>
            <w:r w:rsidR="00A11163" w:rsidRPr="004567E2">
              <w:rPr>
                <w:rStyle w:val="Hyperlink"/>
                <w:rFonts w:ascii="Times New Roman" w:hAnsi="Times New Roman" w:cs="Times New Roman"/>
                <w:color w:val="auto"/>
                <w:sz w:val="24"/>
                <w:szCs w:val="24"/>
                <w:u w:val="none"/>
              </w:rPr>
              <w:lastRenderedPageBreak/>
              <w:t>metadata are used in the intelligent QA service. This Recommendation together with the existing standard “Intelligent question answering service framework” [ITU-T F.746.3] will support the future systems which are expected to be equipped with QA functions for advanced user experiences.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565" w:history="1">
              <w:r w:rsidR="00A11163" w:rsidRPr="004567E2">
                <w:rPr>
                  <w:rStyle w:val="Hyperlink"/>
                  <w:rFonts w:ascii="Times New Roman" w:hAnsi="Times New Roman" w:cs="Times New Roman"/>
                  <w:sz w:val="24"/>
                  <w:szCs w:val="24"/>
                </w:rPr>
                <w:t>Recommendation ITU-T F.746.8 “Requirements for unified status monitoring of networks and services”</w:t>
              </w:r>
            </w:hyperlink>
            <w:r w:rsidR="00A11163" w:rsidRPr="004567E2">
              <w:rPr>
                <w:rStyle w:val="Hyperlink"/>
                <w:rFonts w:ascii="Times New Roman" w:hAnsi="Times New Roman" w:cs="Times New Roman"/>
                <w:color w:val="auto"/>
                <w:sz w:val="24"/>
                <w:szCs w:val="24"/>
                <w:u w:val="none"/>
              </w:rPr>
              <w:t xml:space="preserve"> describes requirements and functional architecture for a unified status monitoring (USM) system which allows network providers and application service providers to get the status information they need. The USM system, which consists of a USM server and a set of USM agents, collects both static and dynamic status information from network providers and application service providers. It can also parse the status requests from network providers and application service providers, generate the status reports, and send the reports back to them.</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Fonts w:ascii="Times New Roman" w:hAnsi="Times New Roman" w:cs="Times New Roman"/>
                <w:sz w:val="24"/>
                <w:szCs w:val="24"/>
              </w:rPr>
            </w:pPr>
            <w:hyperlink r:id="rId566" w:history="1">
              <w:r w:rsidR="00A11163" w:rsidRPr="004567E2">
                <w:rPr>
                  <w:rStyle w:val="Hyperlink"/>
                  <w:rFonts w:ascii="Times New Roman" w:hAnsi="Times New Roman" w:cs="Times New Roman"/>
                  <w:sz w:val="24"/>
                  <w:szCs w:val="24"/>
                </w:rPr>
                <w:t>Recommendation ITU-T H.248.77 “Gateway control protocol: Secure real-time transport protocol (SRTP) package and procedures”</w:t>
              </w:r>
            </w:hyperlink>
            <w:r w:rsidR="00A11163" w:rsidRPr="004567E2">
              <w:rPr>
                <w:rFonts w:ascii="Times New Roman" w:hAnsi="Times New Roman" w:cs="Times New Roman"/>
                <w:sz w:val="24"/>
                <w:szCs w:val="24"/>
              </w:rPr>
              <w:t xml:space="preserve"> contains an updated package that allows for the usage of DTLS-SRTP key management scheme that exchanges the peers' certificates via the signalling path and then establishes a DTLS connection on the bearer path.</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567" w:history="1">
              <w:r w:rsidR="00A11163" w:rsidRPr="004567E2">
                <w:rPr>
                  <w:rStyle w:val="Hyperlink"/>
                  <w:rFonts w:ascii="Times New Roman" w:hAnsi="Times New Roman" w:cs="Times New Roman"/>
                  <w:sz w:val="24"/>
                  <w:szCs w:val="24"/>
                </w:rPr>
                <w:t>Recommendation ITU-T H.430.1 “Requirements for immersive live experience (ILE) services”</w:t>
              </w:r>
            </w:hyperlink>
            <w:r w:rsidR="00A11163" w:rsidRPr="004567E2">
              <w:rPr>
                <w:rStyle w:val="Hyperlink"/>
                <w:rFonts w:ascii="Times New Roman" w:hAnsi="Times New Roman" w:cs="Times New Roman"/>
                <w:color w:val="auto"/>
                <w:sz w:val="24"/>
                <w:szCs w:val="24"/>
                <w:u w:val="none"/>
              </w:rPr>
              <w:t xml:space="preserve"> provides the definition of Immersive Live Experience (ILE) and identifies general requirements and high-level functional requirements for ILE services, in order to clarify ILE services.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568" w:history="1">
              <w:r w:rsidR="00A11163" w:rsidRPr="004567E2">
                <w:rPr>
                  <w:rStyle w:val="Hyperlink"/>
                  <w:rFonts w:ascii="Times New Roman" w:hAnsi="Times New Roman" w:cs="Times New Roman"/>
                  <w:sz w:val="24"/>
                  <w:szCs w:val="24"/>
                </w:rPr>
                <w:t>Recommendation ITU-T H.430.2 “Architectural framework for immersive live experience (ILE) services”</w:t>
              </w:r>
            </w:hyperlink>
            <w:r w:rsidR="00A11163" w:rsidRPr="004567E2">
              <w:rPr>
                <w:rStyle w:val="Hyperlink"/>
                <w:rFonts w:ascii="Times New Roman" w:hAnsi="Times New Roman" w:cs="Times New Roman"/>
                <w:color w:val="auto"/>
                <w:sz w:val="24"/>
                <w:szCs w:val="24"/>
                <w:u w:val="none"/>
              </w:rPr>
              <w:t xml:space="preserve"> identifies general framework and high-level functional architecture for ILE services, in order to clarify ILE services and general functions of ILE systems. This Recommendation also provides the role model of ILE.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569" w:history="1">
              <w:r w:rsidR="00A11163" w:rsidRPr="004567E2">
                <w:rPr>
                  <w:rStyle w:val="Hyperlink"/>
                  <w:rFonts w:ascii="Times New Roman" w:hAnsi="Times New Roman" w:cs="Times New Roman"/>
                  <w:sz w:val="24"/>
                  <w:szCs w:val="24"/>
                </w:rPr>
                <w:t>Recommendation ITU-T H.430.3 “Service scenario of immersive live experience (ILE)”</w:t>
              </w:r>
            </w:hyperlink>
            <w:r w:rsidR="00A11163" w:rsidRPr="004567E2">
              <w:rPr>
                <w:rStyle w:val="Hyperlink"/>
                <w:rFonts w:ascii="Times New Roman" w:hAnsi="Times New Roman" w:cs="Times New Roman"/>
                <w:color w:val="auto"/>
                <w:sz w:val="24"/>
                <w:szCs w:val="24"/>
                <w:u w:val="none"/>
              </w:rPr>
              <w:t xml:space="preserve"> provides several service scenarios of ILE and also provides use cases as information, in order to clarify ILE services.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Fonts w:ascii="Times New Roman" w:hAnsi="Times New Roman" w:cs="Times New Roman"/>
                <w:sz w:val="24"/>
                <w:szCs w:val="24"/>
              </w:rPr>
            </w:pPr>
            <w:hyperlink r:id="rId570" w:history="1">
              <w:r w:rsidR="00A11163" w:rsidRPr="004567E2">
                <w:rPr>
                  <w:rStyle w:val="Hyperlink"/>
                  <w:rFonts w:ascii="Times New Roman" w:hAnsi="Times New Roman" w:cs="Times New Roman"/>
                  <w:sz w:val="24"/>
                  <w:szCs w:val="24"/>
                </w:rPr>
                <w:t>Recommendation ITU-T H.550 “Architecture and functional entities of Vehicle Gateway Platforms”</w:t>
              </w:r>
            </w:hyperlink>
            <w:r w:rsidR="00A11163" w:rsidRPr="004567E2">
              <w:rPr>
                <w:rFonts w:ascii="Times New Roman" w:hAnsi="Times New Roman" w:cs="Times New Roman"/>
                <w:sz w:val="24"/>
                <w:szCs w:val="24"/>
              </w:rPr>
              <w:t xml:space="preserve"> specifies architecture, functional architecture framework and functional entities for vehicle gateway platform. Some signalling flows of VGP are also described in Appendix I. A series of Recommendations for Vehicle Gateway Platforms is under the responsibility of ITU- T SG16. This Recommendation is a part of that series and gives the architecture, functional architecture framework and functional entities of VGP.</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Fonts w:ascii="Times New Roman" w:hAnsi="Times New Roman" w:cs="Times New Roman"/>
                <w:sz w:val="24"/>
                <w:szCs w:val="24"/>
              </w:rPr>
            </w:pPr>
            <w:hyperlink r:id="rId571" w:history="1">
              <w:r w:rsidR="00A11163" w:rsidRPr="004567E2">
                <w:rPr>
                  <w:rStyle w:val="Hyperlink"/>
                  <w:rFonts w:ascii="Times New Roman" w:hAnsi="Times New Roman" w:cs="Times New Roman"/>
                  <w:sz w:val="24"/>
                  <w:szCs w:val="24"/>
                </w:rPr>
                <w:t>Recommendation ITU-T H.560 “Communications interface between external applications and a Vehicle Gateway Platform”</w:t>
              </w:r>
            </w:hyperlink>
            <w:r w:rsidR="00A11163" w:rsidRPr="004567E2">
              <w:rPr>
                <w:rFonts w:ascii="Times New Roman" w:hAnsi="Times New Roman" w:cs="Times New Roman"/>
                <w:sz w:val="24"/>
                <w:szCs w:val="24"/>
              </w:rPr>
              <w:t xml:space="preserve"> specifies functional requirements for vehicle gateway platform services, services functionalities and management, including Vehicle Gateway Platform (VGP), application, and communication network requirements. A series of Recommendations for VGP is under the responsibility of ITU-T SG16. This Recommendation is a part of that series and gives the description of VGP services and the communication interface with applications running over external devices.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Fonts w:ascii="Times New Roman" w:hAnsi="Times New Roman" w:cs="Times New Roman"/>
                <w:sz w:val="24"/>
                <w:szCs w:val="24"/>
              </w:rPr>
            </w:pPr>
            <w:hyperlink r:id="rId572" w:history="1">
              <w:r w:rsidR="00A11163" w:rsidRPr="004567E2">
                <w:rPr>
                  <w:rStyle w:val="Hyperlink"/>
                  <w:rFonts w:ascii="Times New Roman" w:hAnsi="Times New Roman" w:cs="Times New Roman"/>
                  <w:sz w:val="24"/>
                  <w:szCs w:val="24"/>
                </w:rPr>
                <w:t>Recommendation ITU-T H.626.2 “Architecture for cloud storage in visual surveillance”</w:t>
              </w:r>
            </w:hyperlink>
            <w:r w:rsidR="00A11163" w:rsidRPr="004567E2">
              <w:rPr>
                <w:rFonts w:ascii="Times New Roman" w:hAnsi="Times New Roman" w:cs="Times New Roman"/>
                <w:sz w:val="24"/>
                <w:szCs w:val="24"/>
              </w:rPr>
              <w:t xml:space="preserve"> defines a cloud storage architecture in visual surveillance. Cloud storage enables the service users to have ubiquitous, convenient and on-demand network access to a shared pool of the configurable storage resources, which can be rapidly provisioned and released with the minimal management effort. Cloud storage can realize flexible and reliable data storage for large-scale visual surveillance, and its components are modularized and allocated dynamically based on the real usage. This Recommendation describes the architecture, entities, reference points and service control flow for cloud storage in visual surveillance.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573" w:history="1">
              <w:r w:rsidR="00A11163" w:rsidRPr="004567E2">
                <w:rPr>
                  <w:rStyle w:val="Hyperlink"/>
                  <w:rFonts w:ascii="Times New Roman" w:hAnsi="Times New Roman" w:cs="Times New Roman"/>
                  <w:sz w:val="24"/>
                  <w:szCs w:val="24"/>
                </w:rPr>
                <w:t>Recommendation ITU-T H.626.3 “Architecture for visual surveillance system interworking”</w:t>
              </w:r>
            </w:hyperlink>
            <w:r w:rsidR="00A11163" w:rsidRPr="004567E2">
              <w:rPr>
                <w:rStyle w:val="Hyperlink"/>
                <w:rFonts w:ascii="Times New Roman" w:hAnsi="Times New Roman" w:cs="Times New Roman"/>
                <w:color w:val="auto"/>
                <w:sz w:val="24"/>
                <w:szCs w:val="24"/>
                <w:u w:val="none"/>
              </w:rPr>
              <w:t xml:space="preserve"> defines an architecture of visual surveillance system interworking. A visual surveillance system is deployed as a stand-alone and fully autonomous system, and the data and resource cannot be shared between different visual surveillance systems. The visual surveillance system interworking mechanism </w:t>
            </w:r>
            <w:r w:rsidR="00A11163" w:rsidRPr="004567E2">
              <w:rPr>
                <w:rStyle w:val="Hyperlink"/>
                <w:rFonts w:ascii="Times New Roman" w:hAnsi="Times New Roman" w:cs="Times New Roman"/>
                <w:color w:val="auto"/>
                <w:sz w:val="24"/>
                <w:szCs w:val="24"/>
                <w:u w:val="none"/>
              </w:rPr>
              <w:lastRenderedPageBreak/>
              <w:t>enables the communication among the different visual surveillance systems, and this interworking mechanism can realize the cross-system sharing of the data and resource. This Recommendation describes the architecture, entities, reference points, service control flows, and deployment models for visual surveillance system interworking.</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Style w:val="Hyperlink"/>
                <w:rFonts w:ascii="Times New Roman" w:hAnsi="Times New Roman" w:cs="Times New Roman"/>
                <w:color w:val="auto"/>
                <w:sz w:val="24"/>
                <w:szCs w:val="24"/>
                <w:u w:val="none"/>
              </w:rPr>
            </w:pPr>
            <w:hyperlink r:id="rId574" w:history="1">
              <w:r w:rsidR="00A11163" w:rsidRPr="004567E2">
                <w:rPr>
                  <w:rStyle w:val="Hyperlink"/>
                  <w:rFonts w:ascii="Times New Roman" w:hAnsi="Times New Roman" w:cs="Times New Roman"/>
                  <w:sz w:val="24"/>
                  <w:szCs w:val="24"/>
                </w:rPr>
                <w:t>Recommendation ITU-T H.626.4 “Architecture for a point-to-point visual surveillance system”</w:t>
              </w:r>
            </w:hyperlink>
            <w:r w:rsidR="00A11163" w:rsidRPr="004567E2">
              <w:rPr>
                <w:rStyle w:val="Hyperlink"/>
                <w:rFonts w:ascii="Times New Roman" w:hAnsi="Times New Roman" w:cs="Times New Roman"/>
                <w:color w:val="auto"/>
                <w:sz w:val="24"/>
                <w:szCs w:val="24"/>
                <w:u w:val="none"/>
              </w:rPr>
              <w:t xml:space="preserve"> defines the architecture of a point-to-point (P2P) visual surveillance system, including the functional requirements, functional architecture, entities, service flows and interfaces. The P2P visual surveillance system is a kind of visual surveillance system, which provides a solution for users to access video streams directly from the cameras through network, without transferring video streams by the visual surveillance platform.</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Fonts w:ascii="Times New Roman" w:hAnsi="Times New Roman" w:cs="Times New Roman"/>
                <w:sz w:val="24"/>
                <w:szCs w:val="24"/>
              </w:rPr>
            </w:pPr>
            <w:hyperlink r:id="rId575" w:history="1">
              <w:r w:rsidR="00A11163" w:rsidRPr="004567E2">
                <w:rPr>
                  <w:rStyle w:val="Hyperlink"/>
                  <w:rFonts w:ascii="Times New Roman" w:hAnsi="Times New Roman" w:cs="Times New Roman"/>
                  <w:sz w:val="24"/>
                  <w:szCs w:val="24"/>
                </w:rPr>
                <w:t>Recommendation ITU-T H.724 “IPTV Terminal Device: Interworking-enabled model of multiple devices”</w:t>
              </w:r>
            </w:hyperlink>
            <w:r w:rsidR="00A11163" w:rsidRPr="004567E2">
              <w:rPr>
                <w:rFonts w:ascii="Times New Roman" w:hAnsi="Times New Roman" w:cs="Times New Roman"/>
                <w:sz w:val="24"/>
                <w:szCs w:val="24"/>
              </w:rPr>
              <w:t xml:space="preserve"> describes the functional components and features that enable interworking between the IPTV terminal devices defined in ITU-T Recommendations H.721, H.722 and H.723. The service supported by the capability of interworking will provide users a continuous and seamless consumption experience independently of the terminal device type, the access network type and the users' location. This Recommendation does not only concern with the interworking within the local home network, but also the interworking while terminal devices are distributed in the public network. Therefore, this Recommendation also specifies some new functional requirements related to the local and distributed scenarios.</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 xml:space="preserve">In comparison with the other IPTV terminal device models defined in ITU-T Recommendations before, the interworking-enabled terminal device model in this Recommendation focuses on specifying the capability and functions of IPTV terminal device that enable the service or content consumption over multiple IPTV terminal devices. The capabilities and functions include interworking modes, functional roles, application framework, APIs, and the interfaces. In addition, </w:t>
            </w:r>
            <w:r w:rsidRPr="004567E2">
              <w:rPr>
                <w:rFonts w:ascii="Times New Roman" w:hAnsi="Times New Roman" w:cs="Times New Roman"/>
                <w:sz w:val="24"/>
                <w:szCs w:val="24"/>
              </w:rPr>
              <w:lastRenderedPageBreak/>
              <w:t>Appendices I and II describe the use cases and scenarios for interworking modes and synchronization issues.</w:t>
            </w:r>
          </w:p>
          <w:p w:rsidR="00A11163" w:rsidRPr="004567E2" w:rsidRDefault="00A11163" w:rsidP="00A11163">
            <w:pPr>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Although this is one of the IPTV terminal device series of Recommendations, this Recommendation does not intend to specify the technical requirements for a single IPTV terminal device, but to specify the relationship among those IPTV terminal devices by considering the different interworking scenarios. With the specification in this Recommendation, it is beneficial for the IPTV service provider and application developers to expand their IPTV services or applications to provide better user experience.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Style w:val="Hyperlink"/>
                <w:rFonts w:ascii="Times New Roman" w:hAnsi="Times New Roman" w:cs="Times New Roman"/>
                <w:color w:val="auto"/>
                <w:sz w:val="24"/>
                <w:szCs w:val="24"/>
                <w:u w:val="none"/>
              </w:rPr>
            </w:pPr>
            <w:hyperlink r:id="rId576" w:history="1">
              <w:r w:rsidR="00A11163" w:rsidRPr="004567E2">
                <w:rPr>
                  <w:rStyle w:val="Hyperlink"/>
                  <w:rFonts w:ascii="Times New Roman" w:hAnsi="Times New Roman" w:cs="Times New Roman"/>
                  <w:sz w:val="24"/>
                  <w:szCs w:val="24"/>
                </w:rPr>
                <w:t>Recommendation ITU-T H.763.2 “Scalable vector graphics for IPTV services”</w:t>
              </w:r>
            </w:hyperlink>
            <w:r w:rsidR="00A11163" w:rsidRPr="004567E2">
              <w:rPr>
                <w:rFonts w:ascii="Times New Roman" w:hAnsi="Times New Roman" w:cs="Times New Roman"/>
                <w:b/>
                <w:bCs/>
                <w:sz w:val="24"/>
                <w:szCs w:val="24"/>
              </w:rPr>
              <w:t xml:space="preserve"> </w:t>
            </w:r>
            <w:r w:rsidR="00A11163" w:rsidRPr="004567E2">
              <w:rPr>
                <w:rFonts w:ascii="Times New Roman" w:hAnsi="Times New Roman" w:cs="Times New Roman"/>
                <w:sz w:val="24"/>
                <w:szCs w:val="24"/>
              </w:rPr>
              <w:t>describes the functionalities of SVG Tiny, which is issued by W3C, as one of multimedia application frameworks for IPTV services. According to different capabilities of terminal devices on supported services and processing performance, SVG Tiny is classified into "Basic Profile" and "Advanced Profile" for different IPTV terminal device models in this Recommendation. SVG basic profile is designed for the IPTV TD basic model [ITU-T H.721] and mobile model [ITU-T H.723], and SVG advanced profile is designed for the IPTV TD full-fledged model [ITU-T H.722]. SVG advanced profile supports more capabilities of two-dimensional graphics’ rendering than SVG basic profile, particularly in styling, animation, multimedia and interactivity. This Recommendation describes the required aspects of SVG modules, elements, attributes and properties to be supported by those two profiles. It also gives some typical example codes or simulation results.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Fonts w:ascii="Times New Roman" w:hAnsi="Times New Roman" w:cs="Times New Roman"/>
                <w:sz w:val="24"/>
                <w:szCs w:val="24"/>
              </w:rPr>
            </w:pPr>
            <w:hyperlink r:id="rId577" w:history="1">
              <w:r w:rsidR="00A11163" w:rsidRPr="004567E2">
                <w:rPr>
                  <w:rStyle w:val="Hyperlink"/>
                  <w:rFonts w:ascii="Times New Roman" w:hAnsi="Times New Roman" w:cs="Times New Roman"/>
                  <w:sz w:val="24"/>
                  <w:szCs w:val="24"/>
                </w:rPr>
                <w:t>Recommendation ITU-T H.763.3 “HTML for IPTV services”</w:t>
              </w:r>
            </w:hyperlink>
            <w:r w:rsidR="00A11163" w:rsidRPr="004567E2">
              <w:rPr>
                <w:rFonts w:ascii="Times New Roman" w:hAnsi="Times New Roman" w:cs="Times New Roman"/>
                <w:sz w:val="24"/>
                <w:szCs w:val="24"/>
              </w:rPr>
              <w:t xml:space="preserve"> describes hypertext markup language to provide interoperability and harmonization among IPTV multimedia application frameworks. HTML has increasingly been used to create multimedia contents and many declarative application platforms based on HTML have been used to provide various kinds of multimedia services in accordance with different purpose in different areas. However, depending on its purpose, targeted </w:t>
            </w:r>
            <w:r w:rsidR="00A11163" w:rsidRPr="004567E2">
              <w:rPr>
                <w:rFonts w:ascii="Times New Roman" w:hAnsi="Times New Roman" w:cs="Times New Roman"/>
                <w:sz w:val="24"/>
                <w:szCs w:val="24"/>
              </w:rPr>
              <w:lastRenderedPageBreak/>
              <w:t>contents and services, or environments, each declarative application platform has different implementation scope of HTML elements.</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To avoid different appearances and interactivities depending on specific implementations of HTML, a minimal set of HTML elements to be supported by any IPTV terminal needs to be specified for enhancing the interoperability of IPTV services among different terminals.</w:t>
            </w:r>
          </w:p>
          <w:p w:rsidR="00A11163" w:rsidRPr="004567E2" w:rsidRDefault="00A11163" w:rsidP="00A11163">
            <w:pPr>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Therefore, we define Elements of IPTV-HTML (Basic profile), Attributes associated with each element in IPTV-HTML (Basic profile), and DOM interfaces in IPTV-HTML (Basic profile). This document can be used for developing IPTV based application services.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578" w:history="1">
              <w:r w:rsidR="00A11163" w:rsidRPr="004567E2">
                <w:rPr>
                  <w:rStyle w:val="Hyperlink"/>
                  <w:rFonts w:ascii="Times New Roman" w:hAnsi="Times New Roman" w:cs="Times New Roman"/>
                  <w:sz w:val="24"/>
                  <w:szCs w:val="24"/>
                </w:rPr>
                <w:t>Recommendation ITU-T H.766 “Lua for IPTV services”</w:t>
              </w:r>
            </w:hyperlink>
            <w:r w:rsidR="00A11163" w:rsidRPr="004567E2">
              <w:rPr>
                <w:rStyle w:val="Hyperlink"/>
                <w:rFonts w:ascii="Times New Roman" w:hAnsi="Times New Roman" w:cs="Times New Roman"/>
                <w:color w:val="auto"/>
                <w:sz w:val="24"/>
                <w:szCs w:val="24"/>
                <w:u w:val="none"/>
              </w:rPr>
              <w:t xml:space="preserve"> defines Lua as one of standard multimedia application frameworks for IPTV services. Lua is an extension programming language designed to support general procedural programming with data description facilities. Lua is the scripting language for Ginga-NCL [ITU-T H.761]. The Lua engine is distributed as free software under the MIT license. Lua for IPTV services is structured in two sets of application programming interfaces (APIs). Lua IPTV Core API is a basic, mandatory API that conforms with Ginga-NCL [ITU-T H.761]. Lua IPTV Extended API includes enhanced functionality that a Lua implementation is recommended to support. This Recommendation defines Lua IPTV Core API and Lua IPTV Extended API. It includes an Annex with a reference manual for Lua 5.1 as well as an appendix with sample Lua code, which implements a simple health application.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Fonts w:ascii="Times New Roman" w:hAnsi="Times New Roman" w:cs="Times New Roman"/>
                <w:sz w:val="24"/>
                <w:szCs w:val="24"/>
              </w:rPr>
            </w:pPr>
            <w:hyperlink r:id="rId579" w:history="1">
              <w:r w:rsidR="00A11163" w:rsidRPr="004567E2">
                <w:rPr>
                  <w:rStyle w:val="Hyperlink"/>
                  <w:rFonts w:ascii="Times New Roman" w:hAnsi="Times New Roman" w:cs="Times New Roman"/>
                  <w:sz w:val="24"/>
                  <w:szCs w:val="24"/>
                </w:rPr>
                <w:t>Recommendation ITU-T H.782 “Digital signage: Metadata”</w:t>
              </w:r>
            </w:hyperlink>
            <w:r w:rsidR="00A11163" w:rsidRPr="004567E2">
              <w:rPr>
                <w:rFonts w:ascii="Times New Roman" w:hAnsi="Times New Roman" w:cs="Times New Roman"/>
                <w:sz w:val="24"/>
                <w:szCs w:val="24"/>
              </w:rPr>
              <w:t xml:space="preserve"> specifies the data elements and structures of the metadata for digital signage services. The metadata describes information for contents, terminal devices, play logs, playlist schedule, screen layout, etc. The metadata is handled by a digital signage server, a digital signage client, a content delivery server, and a content delivery client. It also specifies general information flows to describe how the metadata are used in the digital signage services.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Fonts w:ascii="Times New Roman" w:hAnsi="Times New Roman" w:cs="Times New Roman"/>
                <w:sz w:val="24"/>
                <w:szCs w:val="24"/>
              </w:rPr>
            </w:pPr>
            <w:hyperlink r:id="rId580" w:history="1">
              <w:r w:rsidR="00A11163" w:rsidRPr="004567E2">
                <w:rPr>
                  <w:rStyle w:val="Hyperlink"/>
                  <w:rFonts w:ascii="Times New Roman" w:hAnsi="Times New Roman" w:cs="Times New Roman"/>
                  <w:sz w:val="24"/>
                  <w:szCs w:val="24"/>
                </w:rPr>
                <w:t>Recommendation ITU-T H.783 “Digital signage: Audience measurement services”</w:t>
              </w:r>
            </w:hyperlink>
            <w:r w:rsidR="00A11163" w:rsidRPr="004567E2">
              <w:rPr>
                <w:rFonts w:ascii="Times New Roman" w:hAnsi="Times New Roman" w:cs="Times New Roman"/>
                <w:sz w:val="24"/>
                <w:szCs w:val="24"/>
              </w:rPr>
              <w:t xml:space="preserve"> specifies functional requirements, configuration and operations, and metadata for audience measurement services in digital signage. The configuration and operations are processed between audience measurement client and audience measurement aggregation. The metadata describes the detail data elements and structures on information used in the configuration and operations.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A11163" w:rsidP="00A11163">
            <w:pPr>
              <w:rPr>
                <w:rStyle w:val="Hyperlink"/>
                <w:rFonts w:ascii="Times New Roman" w:hAnsi="Times New Roman" w:cs="Times New Roman"/>
                <w:sz w:val="24"/>
                <w:szCs w:val="24"/>
              </w:rPr>
            </w:pPr>
            <w:r w:rsidRPr="004567E2">
              <w:rPr>
                <w:rStyle w:val="Hyperlink"/>
                <w:rFonts w:ascii="Times New Roman" w:hAnsi="Times New Roman" w:cs="Times New Roman"/>
                <w:sz w:val="24"/>
                <w:szCs w:val="24"/>
              </w:rPr>
              <w:t xml:space="preserve">Recommendation ITU-T H.784 “Digital signage: Display device control interface” </w:t>
            </w:r>
            <w:r w:rsidRPr="004567E2">
              <w:rPr>
                <w:rStyle w:val="Hyperlink"/>
                <w:rFonts w:ascii="Times New Roman" w:hAnsi="Times New Roman" w:cs="Times New Roman"/>
                <w:color w:val="auto"/>
                <w:sz w:val="24"/>
                <w:szCs w:val="24"/>
                <w:u w:val="none"/>
              </w:rPr>
              <w:t>addresses the display device control interface between the display device and the DS client. The Recommendation introduces an overview of the display device control interface and describes the functions and procedures for controlling and configuring the display device through the interface.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581" w:history="1">
              <w:r w:rsidR="00A11163" w:rsidRPr="004567E2">
                <w:rPr>
                  <w:rStyle w:val="Hyperlink"/>
                  <w:rFonts w:ascii="Times New Roman" w:hAnsi="Times New Roman" w:cs="Times New Roman"/>
                  <w:sz w:val="24"/>
                  <w:szCs w:val="24"/>
                </w:rPr>
                <w:t>Recommendation ITU-T H.785.1 “Digital signage: Service requirements and a reference model on information services in public places via an interoperable service platform”</w:t>
              </w:r>
            </w:hyperlink>
            <w:r w:rsidR="00A11163" w:rsidRPr="004567E2">
              <w:rPr>
                <w:rFonts w:ascii="Times New Roman" w:hAnsi="Times New Roman" w:cs="Times New Roman"/>
                <w:sz w:val="24"/>
                <w:szCs w:val="24"/>
              </w:rPr>
              <w:t xml:space="preserve"> addresses high-level requirements, a reference model, push-based distribution methods and relevant metadata of DS services in public places via the interoperable service platform. The Recommendation is expected to enhance interoperability for DS services in public places as to efficient and effective system operation.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582" w:history="1">
              <w:r w:rsidR="00A11163" w:rsidRPr="004567E2">
                <w:rPr>
                  <w:rStyle w:val="Hyperlink"/>
                  <w:rFonts w:ascii="Times New Roman" w:hAnsi="Times New Roman" w:cs="Times New Roman"/>
                  <w:sz w:val="24"/>
                  <w:szCs w:val="24"/>
                </w:rPr>
                <w:t>Recommendation ITU-T X.500 “Information technology - Open Systems Interconnection - The Directory: Overview of concepts, models and services”</w:t>
              </w:r>
            </w:hyperlink>
            <w:r w:rsidR="00A11163" w:rsidRPr="004567E2">
              <w:rPr>
                <w:rFonts w:ascii="Times New Roman" w:hAnsi="Times New Roman" w:cs="Times New Roman"/>
                <w:sz w:val="24"/>
                <w:szCs w:val="24"/>
              </w:rPr>
              <w:t xml:space="preserve"> introduces the concepts of the Directory and the DIB (Directory Information Base) and overviews the services and capabilities which they provide.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583" w:history="1">
              <w:r w:rsidR="00A11163" w:rsidRPr="004567E2">
                <w:rPr>
                  <w:rStyle w:val="Hyperlink"/>
                  <w:rFonts w:ascii="Times New Roman" w:hAnsi="Times New Roman" w:cs="Times New Roman"/>
                  <w:sz w:val="24"/>
                  <w:szCs w:val="24"/>
                </w:rPr>
                <w:t>Recommendation ITU-T X.501 “Information technology - Open Systems Interconnection - The Directory: Models”</w:t>
              </w:r>
            </w:hyperlink>
            <w:r w:rsidR="00A11163" w:rsidRPr="004567E2">
              <w:rPr>
                <w:rFonts w:ascii="Times New Roman" w:hAnsi="Times New Roman" w:cs="Times New Roman"/>
                <w:b/>
                <w:bCs/>
                <w:sz w:val="24"/>
                <w:szCs w:val="24"/>
              </w:rPr>
              <w:t xml:space="preserve"> </w:t>
            </w:r>
            <w:r w:rsidR="00A11163" w:rsidRPr="004567E2">
              <w:rPr>
                <w:rFonts w:ascii="Times New Roman" w:hAnsi="Times New Roman" w:cs="Times New Roman"/>
                <w:sz w:val="24"/>
                <w:szCs w:val="24"/>
              </w:rPr>
              <w:t xml:space="preserve">provides a number of different models for the Directory as a framework for the other Recommendations in the ITU-T X.500-series. The models are the overall (functional) model, the administrative authority model, generic Directory Information models providing Directory User and Administrative User views on Directory information, generic Directory System </w:t>
            </w:r>
            <w:r w:rsidR="00A11163" w:rsidRPr="004567E2">
              <w:rPr>
                <w:rFonts w:ascii="Times New Roman" w:hAnsi="Times New Roman" w:cs="Times New Roman"/>
                <w:sz w:val="24"/>
                <w:szCs w:val="24"/>
              </w:rPr>
              <w:lastRenderedPageBreak/>
              <w:t>Agent (DSA) and DSA information models and operational framework, and a security model.</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584" w:history="1">
              <w:r w:rsidR="00A11163" w:rsidRPr="004567E2">
                <w:rPr>
                  <w:rStyle w:val="Hyperlink"/>
                  <w:rFonts w:ascii="Times New Roman" w:hAnsi="Times New Roman" w:cs="Times New Roman"/>
                  <w:sz w:val="24"/>
                  <w:szCs w:val="24"/>
                </w:rPr>
                <w:t>Recommendation ITU-T X.509 “Information technology - Open Systems Interconnection - The Directory: Public-key and attribute certificate frameworks”</w:t>
              </w:r>
            </w:hyperlink>
            <w:r w:rsidR="00A11163" w:rsidRPr="004567E2">
              <w:rPr>
                <w:rFonts w:ascii="Times New Roman" w:hAnsi="Times New Roman" w:cs="Times New Roman"/>
                <w:sz w:val="24"/>
                <w:szCs w:val="24"/>
              </w:rPr>
              <w:t xml:space="preserve"> </w:t>
            </w:r>
            <w:r w:rsidR="00A11163" w:rsidRPr="004567E2">
              <w:rPr>
                <w:rFonts w:ascii="Times New Roman" w:eastAsia="SimSun" w:hAnsi="Times New Roman" w:cs="Times New Roman"/>
                <w:sz w:val="24"/>
                <w:szCs w:val="24"/>
              </w:rPr>
              <w:t>defines frameworks for public-key infrastructure (PKI) and privilege management infrastructure (PMI). It introduces the basic concept of asymmetric cryptographic techniques. It specifies the following data types: public-key certificate, attribute certificate, certificate revocation list (CRL) and attribute certificate revocation list (ACRL). It also defines several certificates and CRL extensions, and it defines directory schema information allowing PKI and PMI related data to be stored in a directory. In addition, it defines entity types, such as certification authority (CA), attribute authority (AA), relying party, privilege verifier, trust broker and trust anchor. It specifies the principles for certificate validation, validation path, certificate policy etc. It includes a specification for authorization validation lists that allow for fast validation and restrictions on communications. It includes protocols necessary for maintaining authorization validation lists and a protocol for accessing a trust broker.</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sz w:val="24"/>
                <w:szCs w:val="24"/>
              </w:rPr>
            </w:pPr>
            <w:hyperlink r:id="rId585" w:history="1">
              <w:r w:rsidR="00A11163" w:rsidRPr="004567E2">
                <w:rPr>
                  <w:rStyle w:val="Hyperlink"/>
                  <w:rFonts w:ascii="Times New Roman" w:hAnsi="Times New Roman" w:cs="Times New Roman"/>
                  <w:sz w:val="24"/>
                  <w:szCs w:val="24"/>
                </w:rPr>
                <w:t>Recommendation ITU-T X.511 “Information technology - Open Systems Interconnection - The Directory: Abstract service definition”</w:t>
              </w:r>
            </w:hyperlink>
            <w:r w:rsidR="00A11163" w:rsidRPr="004567E2">
              <w:rPr>
                <w:rFonts w:ascii="Times New Roman" w:hAnsi="Times New Roman" w:cs="Times New Roman"/>
                <w:sz w:val="24"/>
                <w:szCs w:val="24"/>
              </w:rPr>
              <w:t xml:space="preserve"> </w:t>
            </w:r>
            <w:r w:rsidR="00A11163" w:rsidRPr="004567E2">
              <w:rPr>
                <w:rFonts w:ascii="Times New Roman" w:eastAsia="SimSun" w:hAnsi="Times New Roman" w:cs="Times New Roman"/>
                <w:sz w:val="24"/>
                <w:szCs w:val="24"/>
              </w:rPr>
              <w:t>defines in an abstract way the externally visible services provided by the Directory, including bind and unbind operations, read operations, search operations, modify operations, operations to support password policies and operations to support interworking with LDAP.</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eastAsia="SimSun" w:hAnsi="Times New Roman" w:cs="Times New Roman"/>
                <w:sz w:val="24"/>
                <w:szCs w:val="24"/>
              </w:rPr>
            </w:pPr>
            <w:hyperlink r:id="rId586" w:history="1">
              <w:r w:rsidR="00A11163" w:rsidRPr="004567E2">
                <w:rPr>
                  <w:rStyle w:val="Hyperlink"/>
                  <w:rFonts w:ascii="Times New Roman" w:hAnsi="Times New Roman" w:cs="Times New Roman"/>
                  <w:sz w:val="24"/>
                  <w:szCs w:val="24"/>
                </w:rPr>
                <w:t>Recommendation ITU-T X.518 “Information technology - Open Systems Interconnection - The Directory: Procedures for distributed operation”</w:t>
              </w:r>
            </w:hyperlink>
            <w:r w:rsidR="00A11163" w:rsidRPr="004567E2">
              <w:rPr>
                <w:rFonts w:ascii="Times New Roman" w:hAnsi="Times New Roman" w:cs="Times New Roman"/>
                <w:sz w:val="24"/>
                <w:szCs w:val="24"/>
              </w:rPr>
              <w:t xml:space="preserve"> </w:t>
            </w:r>
            <w:r w:rsidR="00A11163" w:rsidRPr="004567E2">
              <w:rPr>
                <w:rFonts w:ascii="Times New Roman" w:eastAsia="SimSun" w:hAnsi="Times New Roman" w:cs="Times New Roman"/>
                <w:sz w:val="24"/>
                <w:szCs w:val="24"/>
              </w:rPr>
              <w:t xml:space="preserve">specifies the procedures required for a distributed directory consisting of a mix of Directory System Agents (DSAs) and lightweight directory access protocol (LDAP) servers acting together to provide a consistent service to its users, independent of the point of access. It also describes procedures for protocol conversion between the </w:t>
            </w:r>
            <w:r w:rsidR="00A11163" w:rsidRPr="004567E2">
              <w:rPr>
                <w:rFonts w:ascii="Times New Roman" w:eastAsia="SimSun" w:hAnsi="Times New Roman" w:cs="Times New Roman"/>
                <w:sz w:val="24"/>
                <w:szCs w:val="24"/>
              </w:rPr>
              <w:lastRenderedPageBreak/>
              <w:t>directory access protocol/directory system protocol (DAP/DSP) protocols and the LDAP protocol.</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sz w:val="24"/>
                <w:szCs w:val="24"/>
              </w:rPr>
            </w:pPr>
            <w:hyperlink r:id="rId587" w:history="1">
              <w:r w:rsidR="00A11163" w:rsidRPr="004567E2">
                <w:rPr>
                  <w:rStyle w:val="Hyperlink"/>
                  <w:rFonts w:ascii="Times New Roman" w:hAnsi="Times New Roman" w:cs="Times New Roman"/>
                  <w:sz w:val="24"/>
                  <w:szCs w:val="24"/>
                </w:rPr>
                <w:t>Recommendation ITU-T X.519 “Information technology - Open Systems Interconnection - The Directory: Protocols specifications”</w:t>
              </w:r>
            </w:hyperlink>
            <w:r w:rsidR="00A11163" w:rsidRPr="004567E2">
              <w:rPr>
                <w:rFonts w:ascii="Times New Roman" w:hAnsi="Times New Roman" w:cs="Times New Roman"/>
                <w:sz w:val="24"/>
                <w:szCs w:val="24"/>
              </w:rPr>
              <w:t xml:space="preserve"> </w:t>
            </w:r>
            <w:r w:rsidR="00A11163" w:rsidRPr="004567E2">
              <w:rPr>
                <w:rFonts w:ascii="Times New Roman" w:eastAsia="SimSun" w:hAnsi="Times New Roman" w:cs="Times New Roman"/>
                <w:sz w:val="24"/>
                <w:szCs w:val="24"/>
              </w:rPr>
              <w:t>specifies the Directory Access Protocol, the Directory System Protocol, the Directory Information Shadowing Protocol and the Directory Operational Binding Management Protocol which fulfil the abstract services specified in Recommendation ITU-T X.501 | ISO/IEC 9594-2, Recommendation ITU T X.511 | ISO/IEC 9594-3, Recommendation ITU-T X.518 | ISO/IEC 9594-4 and Recommendation ITU-T X.525 | ISO/IEC 9594-9. It includes specifications for supporting underlying protocols to reduce the dependency on external specifications.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eastAsia="SimSun" w:hAnsi="Times New Roman" w:cs="Times New Roman"/>
                <w:sz w:val="24"/>
                <w:szCs w:val="24"/>
              </w:rPr>
            </w:pPr>
            <w:hyperlink r:id="rId588" w:history="1">
              <w:r w:rsidR="00A11163" w:rsidRPr="004567E2">
                <w:rPr>
                  <w:rStyle w:val="Hyperlink"/>
                  <w:rFonts w:ascii="Times New Roman" w:hAnsi="Times New Roman" w:cs="Times New Roman"/>
                  <w:sz w:val="24"/>
                  <w:szCs w:val="24"/>
                </w:rPr>
                <w:t>Recommendation ITU-T X.520 “Information technology - Open Systems Interconnection - The Directory: Selected attribute types”</w:t>
              </w:r>
            </w:hyperlink>
            <w:r w:rsidR="00A11163" w:rsidRPr="004567E2">
              <w:rPr>
                <w:rFonts w:ascii="Times New Roman" w:hAnsi="Times New Roman" w:cs="Times New Roman"/>
                <w:sz w:val="24"/>
                <w:szCs w:val="24"/>
              </w:rPr>
              <w:t xml:space="preserve"> </w:t>
            </w:r>
            <w:r w:rsidR="00A11163" w:rsidRPr="004567E2">
              <w:rPr>
                <w:rFonts w:ascii="Times New Roman" w:eastAsia="SimSun" w:hAnsi="Times New Roman" w:cs="Times New Roman"/>
                <w:sz w:val="24"/>
                <w:szCs w:val="24"/>
              </w:rPr>
              <w:t>defines a number of attribute types and matching rules which may be found useful across a range of applications of the Directory. One particular use for many of the attributes defined is in the formation of names, particularly for the classes of objects defined in Rec. ITU-T X.521 | ISO/IEC 9594-7. Other attributes types, called notification attributes, provide diagnostic information. This Recommendation | International Standard defines context types which supply characteristics associated with attribute values. It also includes definitions for LDAP syntaxes relevant for attribute types and matching rules.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eastAsia="SimSun" w:hAnsi="Times New Roman" w:cs="Times New Roman"/>
                <w:sz w:val="24"/>
                <w:szCs w:val="24"/>
              </w:rPr>
            </w:pPr>
            <w:hyperlink r:id="rId589" w:history="1">
              <w:r w:rsidR="00A11163" w:rsidRPr="004567E2">
                <w:rPr>
                  <w:rStyle w:val="Hyperlink"/>
                  <w:rFonts w:ascii="Times New Roman" w:hAnsi="Times New Roman" w:cs="Times New Roman"/>
                  <w:sz w:val="24"/>
                  <w:szCs w:val="24"/>
                </w:rPr>
                <w:t>Recommendation ITU-T X.521 “Information technology - Open Systems Interconnection - The Directory: Selected object classes”</w:t>
              </w:r>
            </w:hyperlink>
            <w:r w:rsidR="00A11163" w:rsidRPr="004567E2">
              <w:rPr>
                <w:rFonts w:ascii="Times New Roman" w:hAnsi="Times New Roman" w:cs="Times New Roman"/>
                <w:sz w:val="24"/>
                <w:szCs w:val="24"/>
              </w:rPr>
              <w:t xml:space="preserve"> </w:t>
            </w:r>
            <w:r w:rsidR="00A11163" w:rsidRPr="004567E2">
              <w:rPr>
                <w:rFonts w:ascii="Times New Roman" w:eastAsia="SimSun" w:hAnsi="Times New Roman" w:cs="Times New Roman"/>
                <w:sz w:val="24"/>
                <w:szCs w:val="24"/>
              </w:rPr>
              <w:t>defines a number of selected object classes and name forms which may be found useful across a range of applications of the Directory.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eastAsia="SimSun" w:hAnsi="Times New Roman" w:cs="Times New Roman"/>
                <w:sz w:val="24"/>
                <w:szCs w:val="24"/>
              </w:rPr>
            </w:pPr>
            <w:hyperlink r:id="rId590" w:history="1">
              <w:r w:rsidR="00A11163" w:rsidRPr="004567E2">
                <w:rPr>
                  <w:rStyle w:val="Hyperlink"/>
                  <w:rFonts w:ascii="Times New Roman" w:hAnsi="Times New Roman" w:cs="Times New Roman"/>
                  <w:sz w:val="24"/>
                  <w:szCs w:val="24"/>
                </w:rPr>
                <w:t>Recommendation ITU-T X.525 “Information technology - Open Systems Interconnection - The Directory: Replication”</w:t>
              </w:r>
            </w:hyperlink>
            <w:r w:rsidR="00A11163" w:rsidRPr="004567E2">
              <w:rPr>
                <w:rFonts w:ascii="Times New Roman" w:hAnsi="Times New Roman" w:cs="Times New Roman"/>
                <w:sz w:val="24"/>
                <w:szCs w:val="24"/>
              </w:rPr>
              <w:t xml:space="preserve"> </w:t>
            </w:r>
            <w:r w:rsidR="00A11163" w:rsidRPr="004567E2">
              <w:rPr>
                <w:rFonts w:ascii="Times New Roman" w:eastAsia="SimSun" w:hAnsi="Times New Roman" w:cs="Times New Roman"/>
                <w:sz w:val="24"/>
                <w:szCs w:val="24"/>
              </w:rPr>
              <w:t xml:space="preserve">specifies a shadow service which Directory system agents (DSAs) may use to replicate Directory information. The service allows Directory information to be replicated among DSAs to improve </w:t>
            </w:r>
            <w:r w:rsidR="00A11163" w:rsidRPr="004567E2">
              <w:rPr>
                <w:rFonts w:ascii="Times New Roman" w:eastAsia="SimSun" w:hAnsi="Times New Roman" w:cs="Times New Roman"/>
                <w:sz w:val="24"/>
                <w:szCs w:val="24"/>
              </w:rPr>
              <w:lastRenderedPageBreak/>
              <w:t>service to Directory users, and provides for the automatic updating of this information.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591" w:history="1">
              <w:r w:rsidR="00A11163" w:rsidRPr="004567E2">
                <w:rPr>
                  <w:rStyle w:val="Hyperlink"/>
                  <w:rFonts w:ascii="Times New Roman" w:eastAsia="Times New Roman" w:hAnsi="Times New Roman" w:cs="Times New Roman"/>
                  <w:sz w:val="24"/>
                  <w:szCs w:val="24"/>
                </w:rPr>
                <w:t>Recommendation ITU-T X.805 “Security architecture for systems providing end-to-end communications”</w:t>
              </w:r>
            </w:hyperlink>
            <w:r w:rsidR="00A11163" w:rsidRPr="004567E2">
              <w:rPr>
                <w:rFonts w:ascii="Times New Roman" w:eastAsia="Times New Roman" w:hAnsi="Times New Roman" w:cs="Times New Roman"/>
                <w:sz w:val="24"/>
                <w:szCs w:val="24"/>
              </w:rPr>
              <w:t xml:space="preserve"> </w:t>
            </w:r>
            <w:r w:rsidR="00A11163" w:rsidRPr="004567E2">
              <w:rPr>
                <w:rFonts w:ascii="Times New Roman" w:hAnsi="Times New Roman" w:cs="Times New Roman"/>
                <w:sz w:val="24"/>
                <w:szCs w:val="24"/>
              </w:rPr>
              <w:t>defines a network security architecture for providing end-to-end network security. The architecture can be applied independently of the network's underlying technology to various kinds of networks where the end-to-end security is a concern. This Recommendation defines the general security-related architectural elements that are necessary for providing end-to-end security. The objective of this Recommendation is to serve as a foundation for developing the detailed recommendations for the end-to-end network security.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592" w:history="1">
              <w:r w:rsidR="00A11163" w:rsidRPr="004567E2">
                <w:rPr>
                  <w:rStyle w:val="Hyperlink"/>
                  <w:rFonts w:ascii="Times New Roman" w:hAnsi="Times New Roman" w:cs="Times New Roman"/>
                  <w:sz w:val="24"/>
                  <w:szCs w:val="24"/>
                </w:rPr>
                <w:t>Recommendation ITU-T X.1037 “IPv6 technical security guidelines”</w:t>
              </w:r>
            </w:hyperlink>
            <w:r w:rsidR="00A11163" w:rsidRPr="004567E2">
              <w:rPr>
                <w:rFonts w:ascii="Times New Roman" w:hAnsi="Times New Roman" w:cs="Times New Roman"/>
                <w:sz w:val="24"/>
                <w:szCs w:val="24"/>
              </w:rPr>
              <w:t xml:space="preserve"> provides a set of technical security guidelines for telecommunication organizations to deploy and operate IPv6 networks and services. The content of this Recommendation focuses on how to securely deploy network facilities for telecommunication organizations and how to ensure security operations for the IPv6 environment.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C2, C5,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eastAsia="Times New Roman" w:hAnsi="Times New Roman" w:cs="Times New Roman"/>
                <w:sz w:val="24"/>
                <w:szCs w:val="24"/>
              </w:rPr>
            </w:pPr>
            <w:hyperlink r:id="rId593" w:history="1">
              <w:r w:rsidR="00A11163" w:rsidRPr="004567E2">
                <w:rPr>
                  <w:rStyle w:val="Hyperlink"/>
                  <w:rFonts w:ascii="Times New Roman" w:eastAsia="Times New Roman" w:hAnsi="Times New Roman" w:cs="Times New Roman"/>
                  <w:sz w:val="24"/>
                  <w:szCs w:val="24"/>
                </w:rPr>
                <w:t>Recommendation ITU-T X.1038 “</w:t>
              </w:r>
              <w:r w:rsidR="00A11163" w:rsidRPr="004567E2">
                <w:rPr>
                  <w:rStyle w:val="Hyperlink"/>
                  <w:rFonts w:ascii="Times New Roman" w:hAnsi="Times New Roman" w:cs="Times New Roman"/>
                  <w:sz w:val="24"/>
                  <w:szCs w:val="24"/>
                </w:rPr>
                <w:t>Security requirements and reference architecture for software-defined networking</w:t>
              </w:r>
              <w:r w:rsidR="00A11163" w:rsidRPr="004567E2">
                <w:rPr>
                  <w:rStyle w:val="Hyperlink"/>
                  <w:rFonts w:ascii="Times New Roman" w:eastAsia="Times New Roman" w:hAnsi="Times New Roman" w:cs="Times New Roman"/>
                  <w:sz w:val="24"/>
                  <w:szCs w:val="24"/>
                </w:rPr>
                <w:t>”</w:t>
              </w:r>
            </w:hyperlink>
            <w:r w:rsidR="00A11163" w:rsidRPr="004567E2">
              <w:rPr>
                <w:rFonts w:ascii="Times New Roman" w:eastAsia="Times New Roman" w:hAnsi="Times New Roman" w:cs="Times New Roman"/>
                <w:sz w:val="24"/>
                <w:szCs w:val="24"/>
              </w:rPr>
              <w:t xml:space="preserve"> </w:t>
            </w:r>
            <w:r w:rsidR="00A11163" w:rsidRPr="004567E2">
              <w:rPr>
                <w:rFonts w:ascii="Times New Roman" w:hAnsi="Times New Roman" w:cs="Times New Roman"/>
                <w:sz w:val="24"/>
                <w:szCs w:val="24"/>
              </w:rPr>
              <w:t>supports security protection and provides security requirements and a reference architecture for software-defined networking (SDN). This Recommendation identifies new security threats as well as traditional network security threats to SDN, defines security requirements, provides possible security countermeasures against new security threats, and designs a security reference architecture for SDN.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sz w:val="24"/>
                <w:szCs w:val="24"/>
              </w:rPr>
            </w:pPr>
            <w:hyperlink r:id="rId594" w:history="1">
              <w:r w:rsidR="00A11163" w:rsidRPr="004567E2">
                <w:rPr>
                  <w:rStyle w:val="Hyperlink"/>
                  <w:rFonts w:ascii="Times New Roman" w:hAnsi="Times New Roman" w:cs="Times New Roman"/>
                  <w:sz w:val="24"/>
                  <w:szCs w:val="24"/>
                </w:rPr>
                <w:t>Recommendation ITU-T X.1039 “Technical security measures for implementation of ITU-T X.805 security dimensions”</w:t>
              </w:r>
            </w:hyperlink>
            <w:r w:rsidR="00A11163" w:rsidRPr="004567E2">
              <w:rPr>
                <w:rFonts w:ascii="Times New Roman" w:hAnsi="Times New Roman" w:cs="Times New Roman"/>
                <w:sz w:val="24"/>
                <w:szCs w:val="24"/>
              </w:rPr>
              <w:t xml:space="preserve"> provides a set of security measures to implement the high-level dimensions. It also provides technical implementation guidance for security measures that can be used to improve organizations’ security response capabilities.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eastAsia="SimSun" w:hAnsi="Times New Roman" w:cs="Times New Roman"/>
                <w:sz w:val="24"/>
                <w:szCs w:val="24"/>
              </w:rPr>
            </w:pPr>
            <w:hyperlink r:id="rId595" w:history="1">
              <w:r w:rsidR="00A11163" w:rsidRPr="004567E2">
                <w:rPr>
                  <w:rStyle w:val="Hyperlink"/>
                  <w:rFonts w:ascii="Times New Roman" w:eastAsia="SimSun" w:hAnsi="Times New Roman" w:cs="Times New Roman"/>
                  <w:sz w:val="24"/>
                  <w:szCs w:val="24"/>
                </w:rPr>
                <w:t>Recommendation ITU-T X.1040 “Security reference architecture for lifecycle management of e-commerce business data”</w:t>
              </w:r>
            </w:hyperlink>
            <w:r w:rsidR="00A11163" w:rsidRPr="004567E2">
              <w:rPr>
                <w:rFonts w:ascii="Times New Roman" w:eastAsia="SimSun" w:hAnsi="Times New Roman" w:cs="Times New Roman"/>
                <w:sz w:val="24"/>
                <w:szCs w:val="24"/>
              </w:rPr>
              <w:t xml:space="preserve"> analyses the main features and typical </w:t>
            </w:r>
            <w:r w:rsidR="00A11163" w:rsidRPr="004567E2">
              <w:rPr>
                <w:rFonts w:ascii="Times New Roman" w:eastAsia="SimSun" w:hAnsi="Times New Roman" w:cs="Times New Roman"/>
                <w:sz w:val="24"/>
                <w:szCs w:val="24"/>
              </w:rPr>
              <w:lastRenderedPageBreak/>
              <w:t>threats faced by e commerce service ecosystems, and provides a security reference architecture for lifecycle management of e-commerce business data.</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596" w:history="1">
              <w:r w:rsidR="00A11163" w:rsidRPr="004567E2">
                <w:rPr>
                  <w:rStyle w:val="Hyperlink"/>
                  <w:rFonts w:ascii="Times New Roman" w:eastAsia="SimSun" w:hAnsi="Times New Roman" w:cs="Times New Roman"/>
                  <w:sz w:val="24"/>
                  <w:szCs w:val="24"/>
                </w:rPr>
                <w:t>Recommendation ITU-T X.1041 “Security framework for voice-over-long-term-evolution (VoLTE) network operation”</w:t>
              </w:r>
            </w:hyperlink>
            <w:r w:rsidR="00A11163" w:rsidRPr="004567E2">
              <w:rPr>
                <w:rFonts w:ascii="Times New Roman" w:eastAsia="SimSun" w:hAnsi="Times New Roman" w:cs="Times New Roman"/>
                <w:sz w:val="24"/>
                <w:szCs w:val="24"/>
              </w:rPr>
              <w:t xml:space="preserve"> analyses security threats encountered by the VoLTE network and recommends countermeasures for telecommunication operators to ensure the secure operation. It also provides a security reference framework for VoLTE network.</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C2, C5,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eastAsia="SimSun" w:hAnsi="Times New Roman" w:cs="Times New Roman"/>
                <w:sz w:val="24"/>
                <w:szCs w:val="24"/>
              </w:rPr>
            </w:pPr>
            <w:hyperlink r:id="rId597" w:history="1">
              <w:r w:rsidR="00A11163" w:rsidRPr="004567E2">
                <w:rPr>
                  <w:rStyle w:val="Hyperlink"/>
                  <w:rFonts w:ascii="Times New Roman" w:eastAsia="SimSun" w:hAnsi="Times New Roman" w:cs="Times New Roman"/>
                  <w:sz w:val="24"/>
                  <w:szCs w:val="24"/>
                </w:rPr>
                <w:t>Recommendation ITU-T X.1051 “Information technology - Security techniques - Code of practice for Information security controls based on ISO/IEC 27002 for telecommunications organizations”</w:t>
              </w:r>
            </w:hyperlink>
            <w:r w:rsidR="00A11163" w:rsidRPr="004567E2">
              <w:rPr>
                <w:rFonts w:ascii="Times New Roman" w:eastAsia="SimSun" w:hAnsi="Times New Roman" w:cs="Times New Roman"/>
                <w:sz w:val="24"/>
                <w:szCs w:val="24"/>
              </w:rPr>
              <w:t xml:space="preserve"> establishes guidelines and general principles for initiating, implementing, maintaining, and improving information security controls in telecommunications organizations based on ISO/IEC 27002; provides an implementation baseline of information security controls within telecommunications organizations to ensure the confidentiality, integrity and availability of telecommunications facilities, services and information handled, processed or stored by the facilities and services.</w:t>
            </w:r>
          </w:p>
          <w:p w:rsidR="00A11163" w:rsidRPr="004567E2" w:rsidRDefault="00A11163" w:rsidP="00A11163">
            <w:pPr>
              <w:widowControl w:val="0"/>
              <w:rPr>
                <w:rStyle w:val="Hyperlink"/>
                <w:rFonts w:ascii="Times New Roman" w:eastAsia="SimSun" w:hAnsi="Times New Roman" w:cs="Times New Roman"/>
                <w:color w:val="auto"/>
                <w:sz w:val="24"/>
                <w:szCs w:val="24"/>
                <w:u w:val="none"/>
              </w:rPr>
            </w:pPr>
            <w:r w:rsidRPr="004567E2">
              <w:rPr>
                <w:rFonts w:ascii="Times New Roman" w:eastAsia="SimSun" w:hAnsi="Times New Roman" w:cs="Times New Roman"/>
                <w:sz w:val="24"/>
                <w:szCs w:val="24"/>
              </w:rPr>
              <w:t>As a result of implementing this Recommendation | International Standard, telecommunications organizations, both within and between jurisdictions, will be able to assure the confidentiality, integrity and availability of the global telecommunications facilities, services and the information handled, processed or stored within the global facilities and services; have adopted secure collaborative processes and controls ensuring the lowering of risks in the delivery of telecommunications services; be able to deliver information security in an effective and efficient manner; have adopted a consistent holistic approach to information security; be able to improve the security culture of organisations, raise staff awareness and increase public trust.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eastAsia="SimSun" w:hAnsi="Times New Roman" w:cs="Times New Roman"/>
                <w:sz w:val="24"/>
                <w:szCs w:val="24"/>
              </w:rPr>
            </w:pPr>
            <w:hyperlink r:id="rId598" w:history="1">
              <w:r w:rsidR="00A11163" w:rsidRPr="004567E2">
                <w:rPr>
                  <w:rStyle w:val="Hyperlink"/>
                  <w:rFonts w:ascii="Times New Roman" w:eastAsia="SimSun" w:hAnsi="Times New Roman" w:cs="Times New Roman"/>
                  <w:sz w:val="24"/>
                  <w:szCs w:val="24"/>
                </w:rPr>
                <w:t>Recommendation ITU-T X.1053 “Code of practice for information security controls based on ITU-T X.1051 for small and medium-sized telecommunication organizations”</w:t>
              </w:r>
            </w:hyperlink>
            <w:r w:rsidR="00A11163" w:rsidRPr="004567E2">
              <w:rPr>
                <w:rFonts w:ascii="Times New Roman" w:eastAsia="SimSun" w:hAnsi="Times New Roman" w:cs="Times New Roman"/>
                <w:sz w:val="24"/>
                <w:szCs w:val="24"/>
              </w:rPr>
              <w:t xml:space="preserve"> establishes guidelines and general principles for initiating, </w:t>
            </w:r>
            <w:r w:rsidR="00A11163" w:rsidRPr="004567E2">
              <w:rPr>
                <w:rFonts w:ascii="Times New Roman" w:eastAsia="SimSun" w:hAnsi="Times New Roman" w:cs="Times New Roman"/>
                <w:sz w:val="24"/>
                <w:szCs w:val="24"/>
              </w:rPr>
              <w:lastRenderedPageBreak/>
              <w:t>implementing, maintaining, and improving information security controls in small and medium-sized telecommunication organizations (SMTOs) based on ITU-T X.1051. This Recommendation also provides an implementation baseline of information security controls for SMTOs to ensure the confidentiality, integrity and availability of telecommunication facilities and services and information handled, processed or stored by the facilities and services.</w:t>
            </w:r>
          </w:p>
          <w:p w:rsidR="00A11163" w:rsidRPr="004567E2" w:rsidRDefault="00A11163" w:rsidP="00A11163">
            <w:pPr>
              <w:widowControl w:val="0"/>
              <w:rPr>
                <w:rFonts w:ascii="Times New Roman" w:eastAsia="SimSun" w:hAnsi="Times New Roman" w:cs="Times New Roman"/>
                <w:sz w:val="24"/>
                <w:szCs w:val="24"/>
              </w:rPr>
            </w:pPr>
            <w:r w:rsidRPr="004567E2">
              <w:rPr>
                <w:rFonts w:ascii="Times New Roman" w:eastAsia="SimSun" w:hAnsi="Times New Roman" w:cs="Times New Roman"/>
                <w:sz w:val="24"/>
                <w:szCs w:val="24"/>
              </w:rPr>
              <w:t>The objectives of this Recommendation are to provide practical guidance suited for SMTOs on commonly accepted goals of information security specifically suited for these organizations.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eastAsia="SimSun" w:hAnsi="Times New Roman" w:cs="Times New Roman"/>
                <w:sz w:val="24"/>
                <w:szCs w:val="24"/>
              </w:rPr>
            </w:pPr>
            <w:hyperlink r:id="rId599" w:history="1">
              <w:r w:rsidR="00A11163" w:rsidRPr="004567E2">
                <w:rPr>
                  <w:rStyle w:val="Hyperlink"/>
                  <w:rFonts w:ascii="Times New Roman" w:eastAsia="SimSun" w:hAnsi="Times New Roman" w:cs="Times New Roman"/>
                  <w:sz w:val="24"/>
                  <w:szCs w:val="24"/>
                </w:rPr>
                <w:t xml:space="preserve">Recommendation ITU-T X.1054 </w:t>
              </w:r>
              <w:r w:rsidR="00A11163" w:rsidRPr="004567E2">
                <w:rPr>
                  <w:rStyle w:val="Hyperlink"/>
                  <w:rFonts w:ascii="Times New Roman" w:hAnsi="Times New Roman" w:cs="Times New Roman"/>
                  <w:sz w:val="24"/>
                  <w:szCs w:val="24"/>
                </w:rPr>
                <w:t>| International Standard ISO/IEC 27014</w:t>
              </w:r>
              <w:r w:rsidR="00A11163" w:rsidRPr="004567E2">
                <w:rPr>
                  <w:rStyle w:val="Hyperlink"/>
                  <w:rFonts w:ascii="Times New Roman" w:eastAsia="SimSun" w:hAnsi="Times New Roman" w:cs="Times New Roman"/>
                  <w:sz w:val="24"/>
                  <w:szCs w:val="24"/>
                </w:rPr>
                <w:t xml:space="preserve"> “Information technology – Security techniques – Governance of information security”</w:t>
              </w:r>
            </w:hyperlink>
            <w:r w:rsidR="00A11163" w:rsidRPr="004567E2">
              <w:rPr>
                <w:rFonts w:ascii="Times New Roman" w:eastAsia="SimSun" w:hAnsi="Times New Roman" w:cs="Times New Roman"/>
                <w:sz w:val="24"/>
                <w:szCs w:val="24"/>
              </w:rPr>
              <w:t xml:space="preserve"> </w:t>
            </w:r>
            <w:r w:rsidR="00A11163" w:rsidRPr="004567E2">
              <w:rPr>
                <w:rFonts w:ascii="Times New Roman" w:hAnsi="Times New Roman" w:cs="Times New Roman"/>
                <w:sz w:val="24"/>
                <w:szCs w:val="24"/>
              </w:rPr>
              <w:t>provides guidance on the governance of information security.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eastAsia="SimSun" w:hAnsi="Times New Roman" w:cs="Times New Roman"/>
                <w:sz w:val="24"/>
                <w:szCs w:val="24"/>
              </w:rPr>
            </w:pPr>
            <w:hyperlink r:id="rId600" w:history="1">
              <w:r w:rsidR="00A11163" w:rsidRPr="004567E2">
                <w:rPr>
                  <w:rStyle w:val="Hyperlink"/>
                  <w:rFonts w:ascii="Times New Roman" w:eastAsia="MS Mincho" w:hAnsi="Times New Roman" w:cs="Times New Roman"/>
                  <w:sz w:val="24"/>
                  <w:szCs w:val="24"/>
                </w:rPr>
                <w:t>Recommendation ITU-T X.1058 “Information technology – Security techniques – Code of practice for personally identifiable information protection”</w:t>
              </w:r>
            </w:hyperlink>
            <w:r w:rsidR="00A11163" w:rsidRPr="004567E2">
              <w:rPr>
                <w:rFonts w:ascii="Times New Roman" w:eastAsia="MS Mincho" w:hAnsi="Times New Roman" w:cs="Times New Roman"/>
                <w:i/>
                <w:sz w:val="24"/>
                <w:szCs w:val="24"/>
              </w:rPr>
              <w:t xml:space="preserve"> </w:t>
            </w:r>
            <w:r w:rsidR="00A11163" w:rsidRPr="004567E2">
              <w:rPr>
                <w:rFonts w:ascii="Times New Roman" w:hAnsi="Times New Roman" w:cs="Times New Roman"/>
                <w:sz w:val="24"/>
                <w:szCs w:val="24"/>
              </w:rPr>
              <w:t>establishes control objectives, controls and guidelines for implementing controls, to meet the requirements identified by a risk and impact assessment related to the protection of Personally Identifiable Information (PII). In particular, this document specifies guidelines based on ISO/IEC 27002, taking into consideration the requirements for processing PII which may be applicable within the context of an organization's information security risk environment(s).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sz w:val="24"/>
                <w:szCs w:val="24"/>
                <w:lang w:eastAsia="ko-KR"/>
              </w:rPr>
            </w:pPr>
            <w:hyperlink r:id="rId601" w:history="1">
              <w:r w:rsidR="00A11163" w:rsidRPr="004567E2">
                <w:rPr>
                  <w:rStyle w:val="Hyperlink"/>
                  <w:rFonts w:ascii="Times New Roman" w:hAnsi="Times New Roman" w:cs="Times New Roman"/>
                  <w:sz w:val="24"/>
                  <w:szCs w:val="24"/>
                </w:rPr>
                <w:t>Recommendation ITU-T X.1080.1 “e-Health and world-wide telemedicines - Generic telecommunication protocol”</w:t>
              </w:r>
            </w:hyperlink>
            <w:r w:rsidR="00A11163" w:rsidRPr="004567E2">
              <w:rPr>
                <w:rFonts w:ascii="Times New Roman" w:hAnsi="Times New Roman" w:cs="Times New Roman"/>
                <w:sz w:val="24"/>
                <w:szCs w:val="24"/>
                <w:lang w:eastAsia="ko-KR"/>
              </w:rPr>
              <w:t xml:space="preserve"> defines the framework for other parts of the ITU-T 1080.x series of Recommendation by providing the overall model for communications aspects of telebiometrics. It provides the basic allocation of object identifiers for uniquely identifying pieces of information during data transfer and it defines a generic telecommunication protocol.</w:t>
            </w:r>
          </w:p>
          <w:p w:rsidR="00A11163" w:rsidRPr="004567E2" w:rsidRDefault="00A11163" w:rsidP="00A11163">
            <w:pPr>
              <w:rPr>
                <w:rFonts w:ascii="Times New Roman" w:hAnsi="Times New Roman" w:cs="Times New Roman"/>
                <w:sz w:val="24"/>
                <w:szCs w:val="24"/>
                <w:lang w:eastAsia="ko-KR"/>
              </w:rPr>
            </w:pPr>
            <w:r w:rsidRPr="004567E2">
              <w:rPr>
                <w:rFonts w:ascii="Times New Roman" w:hAnsi="Times New Roman" w:cs="Times New Roman"/>
                <w:sz w:val="24"/>
                <w:szCs w:val="24"/>
                <w:lang w:eastAsia="ko-KR"/>
              </w:rPr>
              <w:t xml:space="preserve">It provides a technique for a formal specification of objects and it specifies a generic protocol that supports interactions between a medical station local to a patient and a remote medical centre providing greater expertise. This protocol is to </w:t>
            </w:r>
            <w:r w:rsidRPr="004567E2">
              <w:rPr>
                <w:rFonts w:ascii="Times New Roman" w:hAnsi="Times New Roman" w:cs="Times New Roman"/>
                <w:sz w:val="24"/>
                <w:szCs w:val="24"/>
                <w:lang w:eastAsia="ko-KR"/>
              </w:rPr>
              <w:lastRenderedPageBreak/>
              <w:t>be used and extended by other parts of the ITU-T X.1080.x series of Recommendations.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lastRenderedPageBreak/>
              <w:t>C2, C5,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sz w:val="24"/>
                <w:szCs w:val="24"/>
                <w:lang w:eastAsia="ko-KR"/>
              </w:rPr>
            </w:pPr>
            <w:hyperlink r:id="rId602" w:history="1">
              <w:r w:rsidR="00A11163" w:rsidRPr="004567E2">
                <w:rPr>
                  <w:rStyle w:val="Hyperlink"/>
                  <w:rFonts w:ascii="Times New Roman" w:hAnsi="Times New Roman" w:cs="Times New Roman"/>
                  <w:sz w:val="24"/>
                  <w:szCs w:val="24"/>
                </w:rPr>
                <w:t>Recommendation ITU-T X.1085 “Information technology - Security techniques - Telebiometric authentication framework using biometric hardware security module”</w:t>
              </w:r>
            </w:hyperlink>
            <w:r w:rsidR="00A11163" w:rsidRPr="004567E2">
              <w:rPr>
                <w:rFonts w:ascii="Times New Roman" w:hAnsi="Times New Roman" w:cs="Times New Roman"/>
                <w:sz w:val="24"/>
                <w:szCs w:val="24"/>
              </w:rPr>
              <w:t xml:space="preserve"> </w:t>
            </w:r>
            <w:r w:rsidR="00A11163" w:rsidRPr="004567E2">
              <w:rPr>
                <w:rFonts w:ascii="Times New Roman" w:hAnsi="Times New Roman" w:cs="Times New Roman"/>
                <w:sz w:val="24"/>
                <w:szCs w:val="24"/>
                <w:lang w:eastAsia="ko-KR"/>
              </w:rPr>
              <w:t>describes a telebiometric authentication scheme using biometric hardware security module (BHSM) for the telebiometric authentication of proving owner of X.509 certificate registered individual at RA (Register Authority), and provides the requirements for deploying the BHSM scheme to securely operate the telebiometric authentication under PKI environments.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C2, C5,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603" w:history="1">
              <w:r w:rsidR="00A11163" w:rsidRPr="004567E2">
                <w:rPr>
                  <w:rStyle w:val="Hyperlink"/>
                  <w:rFonts w:ascii="Times New Roman" w:hAnsi="Times New Roman" w:cs="Times New Roman"/>
                  <w:sz w:val="24"/>
                  <w:szCs w:val="24"/>
                </w:rPr>
                <w:t>Recommendation ITU-T X.1087 “Technical and operational countermeasures for telebiometric applications using mobile devices”</w:t>
              </w:r>
            </w:hyperlink>
            <w:r w:rsidR="00A11163" w:rsidRPr="004567E2">
              <w:rPr>
                <w:rFonts w:ascii="Times New Roman" w:hAnsi="Times New Roman" w:cs="Times New Roman"/>
                <w:sz w:val="24"/>
                <w:szCs w:val="24"/>
              </w:rPr>
              <w:t xml:space="preserve"> </w:t>
            </w:r>
            <w:r w:rsidR="00A11163" w:rsidRPr="004567E2">
              <w:rPr>
                <w:rFonts w:ascii="Times New Roman" w:hAnsi="Times New Roman" w:cs="Times New Roman"/>
                <w:sz w:val="24"/>
                <w:szCs w:val="24"/>
                <w:lang w:eastAsia="ko-KR"/>
              </w:rPr>
              <w:t>specifies the implementation model and threats in the operating telebiometric systems in mobile devices and provides a general guideline for security countermeasures from both the technical and operational perspectives in order to establish a safe mobile environment for the use of telebiometric systems.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C2, C5,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Style w:val="Hyperlink"/>
                <w:rFonts w:ascii="Times New Roman" w:hAnsi="Times New Roman" w:cs="Times New Roman"/>
                <w:color w:val="auto"/>
                <w:sz w:val="24"/>
                <w:szCs w:val="24"/>
                <w:u w:val="none"/>
              </w:rPr>
            </w:pPr>
            <w:hyperlink r:id="rId604" w:history="1">
              <w:r w:rsidR="00A11163" w:rsidRPr="004567E2">
                <w:rPr>
                  <w:rStyle w:val="Hyperlink"/>
                  <w:rFonts w:ascii="Times New Roman" w:hAnsi="Times New Roman" w:cs="Times New Roman"/>
                  <w:sz w:val="24"/>
                  <w:szCs w:val="24"/>
                </w:rPr>
                <w:t>Recommendation ITU-T X.1126 “Guidelines on mitigating the negative effects of infected terminals in mobile networks”</w:t>
              </w:r>
            </w:hyperlink>
            <w:r w:rsidR="00A11163" w:rsidRPr="004567E2">
              <w:rPr>
                <w:rStyle w:val="Hyperlink"/>
                <w:rFonts w:ascii="Times New Roman" w:hAnsi="Times New Roman" w:cs="Times New Roman"/>
                <w:color w:val="auto"/>
                <w:sz w:val="24"/>
                <w:szCs w:val="24"/>
                <w:u w:val="none"/>
              </w:rPr>
              <w:t xml:space="preserve"> provides guidelines to mobile operators to restrain the infected terminals by utilizing technologies in the mobile network to protect both subscribers and mobile operators.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bCs/>
                <w:sz w:val="24"/>
                <w:szCs w:val="24"/>
              </w:rPr>
            </w:pPr>
            <w:hyperlink r:id="rId605" w:history="1">
              <w:r w:rsidR="00A11163" w:rsidRPr="004567E2">
                <w:rPr>
                  <w:rStyle w:val="Hyperlink"/>
                  <w:rFonts w:ascii="Times New Roman" w:hAnsi="Times New Roman" w:cs="Times New Roman"/>
                  <w:sz w:val="24"/>
                  <w:szCs w:val="24"/>
                  <w:lang w:eastAsia="ko-KR"/>
                </w:rPr>
                <w:t>Recommendation ITU-T X.1127 “Functional security requirements and architecture for mobile phone anti-theft measures”</w:t>
              </w:r>
            </w:hyperlink>
            <w:r w:rsidR="00A11163" w:rsidRPr="004567E2">
              <w:rPr>
                <w:rFonts w:ascii="Times New Roman" w:hAnsi="Times New Roman" w:cs="Times New Roman"/>
                <w:sz w:val="24"/>
                <w:szCs w:val="24"/>
                <w:lang w:eastAsia="ko-KR"/>
              </w:rPr>
              <w:t xml:space="preserve"> </w:t>
            </w:r>
            <w:r w:rsidR="00A11163" w:rsidRPr="004567E2">
              <w:rPr>
                <w:rFonts w:ascii="Times New Roman" w:hAnsi="Times New Roman" w:cs="Times New Roman"/>
                <w:bCs/>
                <w:sz w:val="24"/>
                <w:szCs w:val="24"/>
              </w:rPr>
              <w:t>focuses on the functional security requirements and functional architecture for smartphone anti-theft mechanisms based on the general requirements described by the GSMA. Smartphones are rapidly proliferating and have become a nearly indispensable part of daily life. Unfortunately, many smartphone users have had their phones stolen. A smartphone anti-theft measure, i.e., a kill switch tool, for use in the event it is lost or stolen, should provide the capability to:</w:t>
            </w:r>
          </w:p>
          <w:p w:rsidR="00A11163" w:rsidRPr="004567E2" w:rsidRDefault="00A11163" w:rsidP="00A11163">
            <w:pPr>
              <w:pStyle w:val="ListParagraph"/>
              <w:numPr>
                <w:ilvl w:val="0"/>
                <w:numId w:val="4"/>
              </w:numPr>
              <w:contextualSpacing w:val="0"/>
              <w:rPr>
                <w:rFonts w:ascii="Times New Roman" w:hAnsi="Times New Roman" w:cs="Times New Roman"/>
                <w:bCs/>
                <w:sz w:val="24"/>
                <w:szCs w:val="24"/>
              </w:rPr>
            </w:pPr>
            <w:r w:rsidRPr="004567E2">
              <w:rPr>
                <w:rFonts w:ascii="Times New Roman" w:hAnsi="Times New Roman" w:cs="Times New Roman"/>
                <w:bCs/>
                <w:sz w:val="24"/>
                <w:szCs w:val="24"/>
              </w:rPr>
              <w:t>remotely delete the authorized user's data that is on the smartphone;</w:t>
            </w:r>
          </w:p>
          <w:p w:rsidR="00A11163" w:rsidRPr="004567E2" w:rsidRDefault="00A11163" w:rsidP="00A11163">
            <w:pPr>
              <w:pStyle w:val="ListParagraph"/>
              <w:numPr>
                <w:ilvl w:val="0"/>
                <w:numId w:val="4"/>
              </w:numPr>
              <w:contextualSpacing w:val="0"/>
              <w:rPr>
                <w:rFonts w:ascii="Times New Roman" w:hAnsi="Times New Roman" w:cs="Times New Roman"/>
                <w:bCs/>
                <w:sz w:val="24"/>
                <w:szCs w:val="24"/>
              </w:rPr>
            </w:pPr>
            <w:r w:rsidRPr="004567E2">
              <w:rPr>
                <w:rFonts w:ascii="Times New Roman" w:hAnsi="Times New Roman" w:cs="Times New Roman"/>
                <w:bCs/>
                <w:sz w:val="24"/>
                <w:szCs w:val="24"/>
              </w:rPr>
              <w:t>render the smartphone inoperable to an unauthorized user;</w:t>
            </w:r>
          </w:p>
          <w:p w:rsidR="00A11163" w:rsidRPr="004567E2" w:rsidRDefault="00A11163" w:rsidP="00A11163">
            <w:pPr>
              <w:pStyle w:val="ListParagraph"/>
              <w:numPr>
                <w:ilvl w:val="0"/>
                <w:numId w:val="4"/>
              </w:numPr>
              <w:contextualSpacing w:val="0"/>
              <w:rPr>
                <w:rFonts w:ascii="Times New Roman" w:hAnsi="Times New Roman" w:cs="Times New Roman"/>
                <w:bCs/>
                <w:sz w:val="24"/>
                <w:szCs w:val="24"/>
              </w:rPr>
            </w:pPr>
            <w:r w:rsidRPr="004567E2">
              <w:rPr>
                <w:rFonts w:ascii="Times New Roman" w:hAnsi="Times New Roman" w:cs="Times New Roman"/>
                <w:bCs/>
                <w:sz w:val="24"/>
                <w:szCs w:val="24"/>
              </w:rPr>
              <w:lastRenderedPageBreak/>
              <w:t>prevent reactivation without the authorized user's permission to the extent technologically feasible; and</w:t>
            </w:r>
          </w:p>
          <w:p w:rsidR="00A11163" w:rsidRPr="004567E2" w:rsidRDefault="00A11163" w:rsidP="00A11163">
            <w:pPr>
              <w:pStyle w:val="ListParagraph"/>
              <w:numPr>
                <w:ilvl w:val="0"/>
                <w:numId w:val="4"/>
              </w:numPr>
              <w:contextualSpacing w:val="0"/>
              <w:rPr>
                <w:rStyle w:val="Hyperlink"/>
                <w:rFonts w:ascii="Times New Roman" w:hAnsi="Times New Roman" w:cs="Times New Roman"/>
                <w:bCs/>
                <w:color w:val="auto"/>
                <w:sz w:val="24"/>
                <w:szCs w:val="24"/>
                <w:u w:val="none"/>
              </w:rPr>
            </w:pPr>
            <w:r w:rsidRPr="004567E2">
              <w:rPr>
                <w:rFonts w:ascii="Times New Roman" w:hAnsi="Times New Roman" w:cs="Times New Roman"/>
                <w:bCs/>
                <w:sz w:val="24"/>
                <w:szCs w:val="24"/>
              </w:rPr>
              <w:t>reverse the inoperability if the smartphone is recovered by the authorized user, and restore user data on the smartphone to the extent feasible.</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eastAsia="SimSun" w:hAnsi="Times New Roman" w:cs="Times New Roman"/>
                <w:sz w:val="24"/>
                <w:szCs w:val="24"/>
              </w:rPr>
            </w:pPr>
            <w:hyperlink r:id="rId606" w:history="1">
              <w:r w:rsidR="00A11163" w:rsidRPr="004567E2">
                <w:rPr>
                  <w:rStyle w:val="Hyperlink"/>
                  <w:rFonts w:ascii="Times New Roman" w:eastAsia="SimSun" w:hAnsi="Times New Roman" w:cs="Times New Roman"/>
                  <w:sz w:val="24"/>
                  <w:szCs w:val="24"/>
                </w:rPr>
                <w:t>Recommendation ITU-T X.1141 “Security Assertion Markup Language (SAML 2.0)”</w:t>
              </w:r>
            </w:hyperlink>
            <w:r w:rsidR="00A11163" w:rsidRPr="004567E2">
              <w:rPr>
                <w:rFonts w:ascii="Times New Roman" w:eastAsia="SimSun" w:hAnsi="Times New Roman" w:cs="Times New Roman"/>
                <w:sz w:val="24"/>
                <w:szCs w:val="24"/>
              </w:rPr>
              <w:t xml:space="preserve"> </w:t>
            </w:r>
            <w:r w:rsidR="00A11163" w:rsidRPr="004567E2">
              <w:rPr>
                <w:rFonts w:ascii="Times New Roman" w:hAnsi="Times New Roman" w:cs="Times New Roman"/>
                <w:sz w:val="24"/>
                <w:szCs w:val="24"/>
              </w:rPr>
              <w:t>is an XML-based framework for exchanging security information. This security information is expressed in the form of assertions about subjects, where a subject is an entity (either human or computer) that has an identity in some security domain. A single assertion might contain several different internal statements about authentication, authorization and attributes. This Recommendation defines a protocol by which clients can request assertions from SAML authorities and get a response from them. This protocol, consisting of XML-based request and response message formats, can be bound to many different underlying communications and transport protocols; SAML currently defines one binding to SOAP over HTTP. In creating their responses, SAML authorities can use various sources of information, such as external policy stores and assertions that were received as input in requests. This Recommendation defines SAML assertions elements, subjects, conditions, processing rules and statements. Additionally, it develops a comprehensive SAML metadata profile that includes associated namespace, common data types, processing rules and signature processing. Several protocol bindings such as SOAP, PAOS (reverse SOAP), HTTP redirect, HTTP POST, among others, are also developed. This Recommendation provides a comprehensive list of SAML profiles such as web browser SSO profile and single logout profile to enable the wide adoption of SAML 2.0 in the industry. Guidelines for authentication context and conformance are also provided. This Recommendation is technically equivalent and compatible with the OASIS SAML 2.0 standard.</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eastAsia="SimSun" w:hAnsi="Times New Roman" w:cs="Times New Roman"/>
                <w:sz w:val="24"/>
                <w:szCs w:val="24"/>
              </w:rPr>
            </w:pPr>
            <w:hyperlink r:id="rId607" w:history="1">
              <w:r w:rsidR="00A11163" w:rsidRPr="004567E2">
                <w:rPr>
                  <w:rStyle w:val="Hyperlink"/>
                  <w:rFonts w:ascii="Times New Roman" w:eastAsia="SimSun" w:hAnsi="Times New Roman" w:cs="Times New Roman"/>
                  <w:sz w:val="24"/>
                  <w:szCs w:val="24"/>
                </w:rPr>
                <w:t>Recommendation ITU-T X.1142 “eXtensible Access Control Markup Language (XACML 2.0)”</w:t>
              </w:r>
            </w:hyperlink>
            <w:r w:rsidR="00A11163" w:rsidRPr="004567E2">
              <w:rPr>
                <w:rFonts w:ascii="Times New Roman" w:eastAsia="SimSun" w:hAnsi="Times New Roman" w:cs="Times New Roman"/>
                <w:sz w:val="24"/>
                <w:szCs w:val="24"/>
              </w:rPr>
              <w:t xml:space="preserve"> </w:t>
            </w:r>
            <w:r w:rsidR="00A11163" w:rsidRPr="004567E2">
              <w:rPr>
                <w:rFonts w:ascii="Times New Roman" w:hAnsi="Times New Roman" w:cs="Times New Roman"/>
                <w:sz w:val="24"/>
                <w:szCs w:val="24"/>
              </w:rPr>
              <w:t xml:space="preserve">is an XML vocabulary for expressing access control policies. Access control consists of deciding if a requested resource access should be </w:t>
            </w:r>
            <w:r w:rsidR="00A11163" w:rsidRPr="004567E2">
              <w:rPr>
                <w:rFonts w:ascii="Times New Roman" w:hAnsi="Times New Roman" w:cs="Times New Roman"/>
                <w:sz w:val="24"/>
                <w:szCs w:val="24"/>
              </w:rPr>
              <w:lastRenderedPageBreak/>
              <w:t>allowed and enforcing that decision. This Recommendation defines core XACML including syntax of the language, models, context with policy language model, syntax and processing rules. This Recommendation specifies XACML core and hierarchical role based access control profile. A multiple resource profile of XACML and a SAML 2.0 profile of XACML are specified. To improve on the security of exchanging XACML based policies, this Recommendation also specifies an XACML XML digital signature profile for securing data. A privacy profile is specified in order to provide guidelines for implementers. This Recommendation is technically equivalent and compatible with the OASIS XACML 2.0 standard.</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eastAsia="SimSun" w:hAnsi="Times New Roman" w:cs="Times New Roman"/>
                <w:sz w:val="24"/>
                <w:szCs w:val="24"/>
              </w:rPr>
            </w:pPr>
            <w:hyperlink r:id="rId608" w:history="1">
              <w:r w:rsidR="00A11163" w:rsidRPr="004567E2">
                <w:rPr>
                  <w:rStyle w:val="Hyperlink"/>
                  <w:rFonts w:ascii="Times New Roman" w:eastAsia="SimSun" w:hAnsi="Times New Roman" w:cs="Times New Roman"/>
                  <w:sz w:val="24"/>
                  <w:szCs w:val="24"/>
                </w:rPr>
                <w:t>Recommendation ITU-T X.1144 “eXtensible Access Control Markup Language (XACML) 3.0”</w:t>
              </w:r>
            </w:hyperlink>
            <w:r w:rsidR="00A11163" w:rsidRPr="004567E2">
              <w:rPr>
                <w:rFonts w:ascii="Times New Roman" w:eastAsia="SimSun" w:hAnsi="Times New Roman" w:cs="Times New Roman"/>
                <w:sz w:val="24"/>
                <w:szCs w:val="24"/>
              </w:rPr>
              <w:t xml:space="preserve"> </w:t>
            </w:r>
            <w:r w:rsidR="00A11163" w:rsidRPr="004567E2">
              <w:rPr>
                <w:rFonts w:ascii="Times New Roman" w:hAnsi="Times New Roman" w:cs="Times New Roman"/>
                <w:sz w:val="24"/>
                <w:szCs w:val="24"/>
              </w:rPr>
              <w:t>develops extensible access control markup language (XACML 3.0) which is an updated version of Recommendation ITU-T X.1142 (which is equivalent to OASIS XACML 2.0 (06/2006)).</w:t>
            </w:r>
            <w:r w:rsidR="00A11163" w:rsidRPr="004567E2">
              <w:rPr>
                <w:rFonts w:ascii="Times New Roman" w:hAnsi="Times New Roman" w:cs="Times New Roman"/>
                <w:sz w:val="24"/>
                <w:szCs w:val="24"/>
              </w:rPr>
              <w:br/>
              <w:t>This Recommendation defines core XACML including syntax of the language, models, context with policy language model, syntax and processing rules. This Recommendation is technically equivalent and compatible with the OASIS XACML 3.0 standard.</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609" w:history="1">
              <w:r w:rsidR="00A11163" w:rsidRPr="004567E2">
                <w:rPr>
                  <w:rStyle w:val="Hyperlink"/>
                  <w:rFonts w:ascii="Times New Roman" w:hAnsi="Times New Roman" w:cs="Times New Roman"/>
                  <w:sz w:val="24"/>
                  <w:szCs w:val="24"/>
                </w:rPr>
                <w:t>Recommendation ITU-T X.1145 “Security framework and requirements for open capabilities of telecommunication services”</w:t>
              </w:r>
            </w:hyperlink>
            <w:r w:rsidR="00A11163" w:rsidRPr="004567E2">
              <w:rPr>
                <w:rFonts w:ascii="Times New Roman" w:hAnsi="Times New Roman" w:cs="Times New Roman"/>
                <w:sz w:val="24"/>
                <w:szCs w:val="24"/>
              </w:rPr>
              <w:t xml:space="preserve"> focuses on an analysis of the security requirements of open capabilities of telecommunication services and provides a security framework.</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eastAsia="SimSun" w:hAnsi="Times New Roman" w:cs="Times New Roman"/>
                <w:sz w:val="24"/>
                <w:szCs w:val="24"/>
              </w:rPr>
            </w:pPr>
            <w:hyperlink r:id="rId610" w:history="1">
              <w:r w:rsidR="00A11163" w:rsidRPr="004567E2">
                <w:rPr>
                  <w:rStyle w:val="Hyperlink"/>
                  <w:rFonts w:ascii="Times New Roman" w:eastAsia="SimSun" w:hAnsi="Times New Roman" w:cs="Times New Roman"/>
                  <w:sz w:val="24"/>
                  <w:szCs w:val="24"/>
                </w:rPr>
                <w:t>Recommendation ITU-T X.1146 “Secure protection guidelines of for value-added services provided by telecommunication for operators”</w:t>
              </w:r>
            </w:hyperlink>
            <w:r w:rsidR="00A11163" w:rsidRPr="004567E2">
              <w:rPr>
                <w:rFonts w:ascii="Times New Roman" w:eastAsia="SimSun" w:hAnsi="Times New Roman" w:cs="Times New Roman"/>
                <w:sz w:val="24"/>
                <w:szCs w:val="24"/>
              </w:rPr>
              <w:t xml:space="preserve"> provides secure protection guidelines for value-added services provided by telecommunication operators. In addition to analysing typical service scenarios, security threats and attack methods, this Recommendation provides technical measures to counter threats and attacks. This will help the operators to assure the security of the value-added service, and will also protect the users’ benefits.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eastAsia="SimSun" w:hAnsi="Times New Roman" w:cs="Times New Roman"/>
                <w:sz w:val="24"/>
                <w:szCs w:val="24"/>
              </w:rPr>
            </w:pPr>
            <w:hyperlink r:id="rId611" w:history="1">
              <w:r w:rsidR="00A11163" w:rsidRPr="004567E2">
                <w:rPr>
                  <w:rStyle w:val="Hyperlink"/>
                  <w:rFonts w:ascii="Times New Roman" w:eastAsia="SimSun" w:hAnsi="Times New Roman" w:cs="Times New Roman"/>
                  <w:sz w:val="24"/>
                  <w:szCs w:val="24"/>
                </w:rPr>
                <w:t>Recommendation ITU-T X.1205 “Overview of cybersecurity”</w:t>
              </w:r>
            </w:hyperlink>
            <w:r w:rsidR="00A11163" w:rsidRPr="004567E2">
              <w:rPr>
                <w:rFonts w:ascii="Times New Roman" w:eastAsia="SimSun" w:hAnsi="Times New Roman" w:cs="Times New Roman"/>
                <w:sz w:val="24"/>
                <w:szCs w:val="24"/>
              </w:rPr>
              <w:t xml:space="preserve"> provides a definition for cybersecurity. This Recommendation provides a taxonomy of the security threats from an organization point of view. Cybersecurity threats and vulnerabilities including the most common hacker's tools of the trade are presented. Threats are discussed at various network layers.</w:t>
            </w:r>
            <w:r w:rsidR="00A11163" w:rsidRPr="004567E2">
              <w:rPr>
                <w:rFonts w:ascii="Times New Roman" w:eastAsia="SimSun" w:hAnsi="Times New Roman" w:cs="Times New Roman"/>
                <w:sz w:val="24"/>
                <w:szCs w:val="24"/>
              </w:rPr>
              <w:br/>
              <w:t>Various cybersecurity technologies that are available to remedy the threats are discussed, including: routers, firewalls, antivirus protection, intrusion detection systems, intrusion protection systems, secure computing and audit and monitoring. Network protection principles, such as defence in depth, access management with application to cybersecurity are discussed. Risk management strategies and techniques are discussed including the value of training and education in protecting the network. Examples for securing various networks, based on the discussed technologies, are also discussed.</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eastAsia="SimSun" w:hAnsi="Times New Roman" w:cs="Times New Roman"/>
                <w:sz w:val="24"/>
                <w:szCs w:val="24"/>
              </w:rPr>
            </w:pPr>
            <w:hyperlink r:id="rId612" w:history="1">
              <w:r w:rsidR="00A11163" w:rsidRPr="004567E2">
                <w:rPr>
                  <w:rStyle w:val="Hyperlink"/>
                  <w:rFonts w:ascii="Times New Roman" w:hAnsi="Times New Roman" w:cs="Times New Roman"/>
                  <w:sz w:val="24"/>
                  <w:szCs w:val="24"/>
                </w:rPr>
                <w:t>Recommendation ITU-T X.1212 “Design considerations for improved end-user perception of trustworthiness indicators”</w:t>
              </w:r>
            </w:hyperlink>
            <w:r w:rsidR="00A11163" w:rsidRPr="004567E2">
              <w:rPr>
                <w:rFonts w:ascii="Times New Roman" w:hAnsi="Times New Roman" w:cs="Times New Roman"/>
                <w:sz w:val="24"/>
                <w:szCs w:val="24"/>
                <w:lang w:eastAsia="ko-KR"/>
              </w:rPr>
              <w:t xml:space="preserve"> </w:t>
            </w:r>
            <w:r w:rsidR="00A11163" w:rsidRPr="004567E2">
              <w:rPr>
                <w:rFonts w:ascii="Times New Roman" w:hAnsi="Times New Roman" w:cs="Times New Roman"/>
                <w:sz w:val="24"/>
                <w:szCs w:val="24"/>
              </w:rPr>
              <w:t>describes design consideration</w:t>
            </w:r>
            <w:r w:rsidR="00A11163" w:rsidRPr="004567E2">
              <w:rPr>
                <w:rFonts w:ascii="Times New Roman" w:hAnsi="Times New Roman" w:cs="Times New Roman"/>
                <w:sz w:val="24"/>
                <w:szCs w:val="24"/>
                <w:lang w:eastAsia="ja-JP"/>
              </w:rPr>
              <w:t>s</w:t>
            </w:r>
            <w:r w:rsidR="00A11163" w:rsidRPr="004567E2">
              <w:rPr>
                <w:rFonts w:ascii="Times New Roman" w:hAnsi="Times New Roman" w:cs="Times New Roman"/>
                <w:sz w:val="24"/>
                <w:szCs w:val="24"/>
              </w:rPr>
              <w:t xml:space="preserve"> for improved end-user perception of trustworthiness indicators. The appendices describe representative techniques for measuring </w:t>
            </w:r>
            <w:r w:rsidR="00A11163" w:rsidRPr="004567E2">
              <w:rPr>
                <w:rFonts w:ascii="Times New Roman" w:hAnsi="Times New Roman" w:cs="Times New Roman"/>
                <w:sz w:val="24"/>
                <w:szCs w:val="24"/>
                <w:lang w:eastAsia="ja-JP"/>
              </w:rPr>
              <w:t xml:space="preserve">the </w:t>
            </w:r>
            <w:r w:rsidR="00A11163" w:rsidRPr="004567E2">
              <w:rPr>
                <w:rFonts w:ascii="Times New Roman" w:hAnsi="Times New Roman" w:cs="Times New Roman"/>
                <w:sz w:val="24"/>
                <w:szCs w:val="24"/>
              </w:rPr>
              <w:t>end-user perception of such indicators.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sz w:val="24"/>
                <w:szCs w:val="24"/>
              </w:rPr>
            </w:pPr>
            <w:hyperlink r:id="rId613" w:history="1">
              <w:r w:rsidR="00A11163" w:rsidRPr="004567E2">
                <w:rPr>
                  <w:rStyle w:val="Hyperlink"/>
                  <w:rFonts w:ascii="Times New Roman" w:hAnsi="Times New Roman" w:cs="Times New Roman"/>
                  <w:sz w:val="24"/>
                  <w:szCs w:val="24"/>
                </w:rPr>
                <w:t>Recommendation ITU-T X.1213 “Security capability requirements for countering smartphone-based botnets”</w:t>
              </w:r>
            </w:hyperlink>
            <w:r w:rsidR="00A11163" w:rsidRPr="004567E2">
              <w:rPr>
                <w:rFonts w:ascii="Times New Roman" w:hAnsi="Times New Roman" w:cs="Times New Roman"/>
                <w:sz w:val="24"/>
                <w:szCs w:val="24"/>
              </w:rPr>
              <w:t xml:space="preserve"> analyses the background and potential security threats of smartphone-based botnets, and provides security capability requirements. Along with the rapid development of mobile Internet devices and the widespread use of smartphones, surveys from worldwide organizations show that botnets, formerly targeting mostly personal computer (PC)-based networks, are now being replicated very quickly on smartphones. Currently, countries and regions with differing conditions and ecosystems have varying levels of constraints on the propagation of smartphone-based botnets. Analytical reports from various security companies and investigative organizations show noticeably different statistical data on the severity of the propagation of smartphone-based botnets. The potential threat of </w:t>
            </w:r>
            <w:r w:rsidR="00A11163" w:rsidRPr="004567E2">
              <w:rPr>
                <w:rFonts w:ascii="Times New Roman" w:hAnsi="Times New Roman" w:cs="Times New Roman"/>
                <w:sz w:val="24"/>
                <w:szCs w:val="24"/>
              </w:rPr>
              <w:lastRenderedPageBreak/>
              <w:t>smartphone-based botnets is increasing very quickly in some regions and could possibly spread worldwide and turn from a regional issue into a serious global issue. Compared with PCs and servers, smartphones have less processing power, storage space and battery life. However, the adversarial influence of smartphone-based botnets could have greater repercussions on users for the following reasons: 1) smartphones often store very important personally identifiable information (PII) and 2) if attacks on smartphones or on the operator's infrastructure occur, user experience may degrade significantly due to the prevalence of, and user dependence on, smartphones.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sz w:val="24"/>
                <w:szCs w:val="24"/>
              </w:rPr>
            </w:pPr>
            <w:hyperlink r:id="rId614" w:history="1">
              <w:r w:rsidR="00A11163" w:rsidRPr="004567E2">
                <w:rPr>
                  <w:rStyle w:val="Hyperlink"/>
                  <w:rFonts w:ascii="Times New Roman" w:hAnsi="Times New Roman" w:cs="Times New Roman"/>
                  <w:sz w:val="24"/>
                  <w:szCs w:val="24"/>
                </w:rPr>
                <w:t>Recommendation ITU-T X.1214 “Security assessment techniques in telecommunication/ICT networks”</w:t>
              </w:r>
            </w:hyperlink>
            <w:r w:rsidR="00A11163" w:rsidRPr="004567E2">
              <w:rPr>
                <w:rFonts w:ascii="Times New Roman" w:hAnsi="Times New Roman" w:cs="Times New Roman"/>
                <w:sz w:val="24"/>
                <w:szCs w:val="24"/>
              </w:rPr>
              <w:t xml:space="preserve"> describes a global security assessment methodology for software-based telecommunication/ICT network elements and best practices for developers, manufacturers, operators and individual security experts of the telecommunication domain for addressing the secureness of their software-based elements. Both the traditional circuit-switched networks and the packet-based networks are exposed to different threats and attacks - from external as well as internal sources - that target the various parts of the telecommunications/ICT network. This Recommendation covers the following:</w:t>
            </w:r>
          </w:p>
          <w:p w:rsidR="00A11163" w:rsidRPr="004567E2" w:rsidRDefault="00A11163" w:rsidP="00A11163">
            <w:pPr>
              <w:pStyle w:val="ListParagraph"/>
              <w:numPr>
                <w:ilvl w:val="0"/>
                <w:numId w:val="8"/>
              </w:numPr>
              <w:tabs>
                <w:tab w:val="left" w:pos="284"/>
                <w:tab w:val="left" w:pos="567"/>
                <w:tab w:val="left" w:pos="851"/>
                <w:tab w:val="left" w:pos="1418"/>
                <w:tab w:val="left" w:pos="1701"/>
                <w:tab w:val="left" w:pos="2552"/>
                <w:tab w:val="left" w:pos="2835"/>
                <w:tab w:val="left" w:pos="3119"/>
                <w:tab w:val="left" w:pos="3402"/>
                <w:tab w:val="left" w:pos="3686"/>
                <w:tab w:val="left" w:pos="3969"/>
              </w:tabs>
              <w:ind w:left="714" w:hanging="357"/>
              <w:contextualSpacing w:val="0"/>
              <w:rPr>
                <w:rFonts w:ascii="Times New Roman" w:hAnsi="Times New Roman" w:cs="Times New Roman"/>
                <w:sz w:val="24"/>
                <w:szCs w:val="24"/>
                <w:lang w:val="en-GB"/>
              </w:rPr>
            </w:pPr>
            <w:r w:rsidRPr="004567E2">
              <w:rPr>
                <w:rFonts w:ascii="Times New Roman" w:hAnsi="Times New Roman" w:cs="Times New Roman"/>
                <w:sz w:val="24"/>
                <w:szCs w:val="24"/>
                <w:lang w:val="en-GB"/>
              </w:rPr>
              <w:t>Detection of vulnerabilities in telecommunications/ICT network</w:t>
            </w:r>
          </w:p>
          <w:p w:rsidR="00A11163" w:rsidRPr="004567E2" w:rsidRDefault="00A11163" w:rsidP="00A11163">
            <w:pPr>
              <w:pStyle w:val="ListParagraph"/>
              <w:numPr>
                <w:ilvl w:val="0"/>
                <w:numId w:val="8"/>
              </w:numPr>
              <w:tabs>
                <w:tab w:val="left" w:pos="284"/>
                <w:tab w:val="left" w:pos="567"/>
                <w:tab w:val="left" w:pos="851"/>
                <w:tab w:val="left" w:pos="1418"/>
                <w:tab w:val="left" w:pos="1701"/>
                <w:tab w:val="left" w:pos="2552"/>
                <w:tab w:val="left" w:pos="2835"/>
                <w:tab w:val="left" w:pos="3119"/>
                <w:tab w:val="left" w:pos="3402"/>
                <w:tab w:val="left" w:pos="3686"/>
                <w:tab w:val="left" w:pos="3969"/>
              </w:tabs>
              <w:ind w:left="714" w:hanging="357"/>
              <w:contextualSpacing w:val="0"/>
              <w:rPr>
                <w:rStyle w:val="Hyperlink"/>
                <w:rFonts w:ascii="Times New Roman" w:hAnsi="Times New Roman" w:cs="Times New Roman"/>
                <w:color w:val="auto"/>
                <w:sz w:val="24"/>
                <w:szCs w:val="24"/>
                <w:u w:val="none"/>
                <w:lang w:val="en-GB"/>
              </w:rPr>
            </w:pPr>
            <w:r w:rsidRPr="004567E2">
              <w:rPr>
                <w:rFonts w:ascii="Times New Roman" w:hAnsi="Times New Roman" w:cs="Times New Roman"/>
                <w:sz w:val="24"/>
                <w:szCs w:val="24"/>
                <w:lang w:val="en-GB"/>
              </w:rPr>
              <w:t>Methodology of security assessment in telecommunications/ICT network.</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eastAsia="Times New Roman" w:hAnsi="Times New Roman" w:cs="Times New Roman"/>
                <w:sz w:val="24"/>
                <w:szCs w:val="24"/>
              </w:rPr>
            </w:pPr>
            <w:hyperlink r:id="rId615" w:history="1">
              <w:r w:rsidR="00A11163" w:rsidRPr="004567E2">
                <w:rPr>
                  <w:rStyle w:val="Hyperlink"/>
                  <w:rFonts w:ascii="Times New Roman" w:eastAsia="Times New Roman" w:hAnsi="Times New Roman" w:cs="Times New Roman"/>
                  <w:sz w:val="24"/>
                  <w:szCs w:val="24"/>
                </w:rPr>
                <w:t>Recommendation ITU-T X.1243 “Interactive gateway system for countering spam”</w:t>
              </w:r>
            </w:hyperlink>
            <w:r w:rsidR="00A11163" w:rsidRPr="004567E2">
              <w:rPr>
                <w:rFonts w:ascii="Times New Roman" w:eastAsia="Times New Roman" w:hAnsi="Times New Roman" w:cs="Times New Roman"/>
                <w:sz w:val="24"/>
                <w:szCs w:val="24"/>
              </w:rPr>
              <w:t xml:space="preserve"> </w:t>
            </w:r>
            <w:r w:rsidR="00A11163" w:rsidRPr="004567E2">
              <w:rPr>
                <w:rFonts w:ascii="Times New Roman" w:hAnsi="Times New Roman" w:cs="Times New Roman"/>
                <w:sz w:val="24"/>
                <w:szCs w:val="24"/>
              </w:rPr>
              <w:t>specifies the interactive gateway system for countering spam as a technical means for countering inter-domain spam. The gateway system enables spam notification among different domains, and it prevents spam traffic from passing from one domain to another. In addition, this Recommendation specifies the architecture for the gateway system, describes basic entities, protocols and functions of the gateway system, and provides mechanisms for spam detection, information sharing and specific actions in the gateway system for countering spam.</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sz w:val="24"/>
                <w:szCs w:val="24"/>
              </w:rPr>
            </w:pPr>
            <w:hyperlink r:id="rId616" w:history="1">
              <w:r w:rsidR="00A11163" w:rsidRPr="004567E2">
                <w:rPr>
                  <w:rStyle w:val="Hyperlink"/>
                  <w:rFonts w:ascii="Times New Roman" w:hAnsi="Times New Roman" w:cs="Times New Roman"/>
                  <w:sz w:val="24"/>
                  <w:szCs w:val="24"/>
                </w:rPr>
                <w:t>Recommendation ITU-T X.1248 “Technical requirements for countering instant messaging spam”</w:t>
              </w:r>
            </w:hyperlink>
            <w:r w:rsidR="00A11163" w:rsidRPr="004567E2">
              <w:rPr>
                <w:rFonts w:ascii="Times New Roman" w:hAnsi="Times New Roman" w:cs="Times New Roman"/>
                <w:sz w:val="24"/>
                <w:szCs w:val="24"/>
              </w:rPr>
              <w:t xml:space="preserve"> identifies characteristics of spam over instant messaging (SPIM) and specifies technical requirements for countering it. As instant messaging (IM) increases in popularity, the proliferation of SPIM becomes an increasingly serious problem. The characteristics of IM, such as being Internet protocol (IP)-based with widespread usage that is free of charge, potentially allows SPIM to spread widely and uncontrollably. If SPIM problems are not carefully addressed, they can have negative impacts on the utilization of the IM service itself.</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Recommendation ITU-T X.1249 "Technical framework for countering mobile in-application advertising spam" (under approval) provides a technical framework for countering mobile in-application advertising spam. Mobile in-application advertising spam is the sending of unsolicited advertisements, which are displayed within a mobile phone application. These unsolicited messages can appear on the display screen of a mobile device as a banner at the top or bottom of the screen, a mobile interstitial, or an overlay. Along with the rapidly increasing development of mobile applications, mobile in-application advertisement has been surging dramatically. Filtering unwanted or malicious advertisements is urgently needed regarding to the user experience and even security. Although many countermeasures have been proposed and implemented, they all suffer from limitations or drawbacks, and users still face a high volume and a high portion of mobile in-application advertising spam. Therefore, it is necessary to establish a practical framework for countering mobile in-application advertising spam, which can reasonably integrate the advantages of all countermeasures.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sz w:val="24"/>
                <w:szCs w:val="24"/>
              </w:rPr>
            </w:pPr>
            <w:hyperlink r:id="rId617" w:history="1">
              <w:r w:rsidR="00A11163" w:rsidRPr="004567E2">
                <w:rPr>
                  <w:rStyle w:val="Hyperlink"/>
                  <w:rFonts w:ascii="Times New Roman" w:hAnsi="Times New Roman" w:cs="Times New Roman"/>
                  <w:sz w:val="24"/>
                  <w:szCs w:val="24"/>
                </w:rPr>
                <w:t>Recommendation ITU-T X.1276 “Authentication Step-Up Protocol and Metadata Version 1.0”</w:t>
              </w:r>
            </w:hyperlink>
            <w:r w:rsidR="00A11163" w:rsidRPr="004567E2">
              <w:rPr>
                <w:rFonts w:ascii="Times New Roman" w:hAnsi="Times New Roman" w:cs="Times New Roman"/>
                <w:sz w:val="24"/>
                <w:szCs w:val="24"/>
              </w:rPr>
              <w:t>: Electronic Identity Credential Trust Elevation Methods are used to increase assurance in entity identification using authentication events and related entity information for the purpose of risk mitigation when making access control policy decisions. The goals of this Recommendation are:</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lastRenderedPageBreak/>
              <w:t>–</w:t>
            </w:r>
            <w:r w:rsidRPr="004567E2">
              <w:rPr>
                <w:rFonts w:ascii="Times New Roman" w:hAnsi="Times New Roman" w:cs="Times New Roman"/>
                <w:sz w:val="24"/>
                <w:szCs w:val="24"/>
              </w:rPr>
              <w:tab/>
              <w:t>To propose simple Trust Elevation architectural patterns demonstrating the use of Trust Elevation in modern Access Control architectures.</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To describe a common metadata set mechanisms and protocol elements for Trust Elevation information exchanges.</w:t>
            </w:r>
          </w:p>
          <w:p w:rsidR="00A11163" w:rsidRPr="004567E2" w:rsidRDefault="00A11163" w:rsidP="00A11163">
            <w:pPr>
              <w:pStyle w:val="ListParagraph"/>
              <w:ind w:left="0"/>
              <w:contextualSpacing w:val="0"/>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w:t>
            </w:r>
            <w:r w:rsidRPr="004567E2">
              <w:rPr>
                <w:rFonts w:ascii="Times New Roman" w:hAnsi="Times New Roman" w:cs="Times New Roman"/>
                <w:sz w:val="24"/>
                <w:szCs w:val="24"/>
              </w:rPr>
              <w:tab/>
              <w:t>To promote the use of Trust Elevation elements to facilitate standardization among the many technologies and approaches currently in use for credential &amp; authentication risk mitigation.</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A11163" w:rsidP="00A11163">
            <w:pPr>
              <w:rPr>
                <w:rStyle w:val="Hyperlink"/>
                <w:rFonts w:asciiTheme="majorBidi" w:hAnsiTheme="majorBidi" w:cstheme="majorBidi"/>
                <w:bCs/>
                <w:color w:val="auto"/>
                <w:sz w:val="24"/>
                <w:szCs w:val="24"/>
                <w:u w:val="none"/>
              </w:rPr>
            </w:pPr>
            <w:r w:rsidRPr="004567E2">
              <w:rPr>
                <w:rFonts w:asciiTheme="majorBidi" w:hAnsiTheme="majorBidi" w:cstheme="majorBidi"/>
                <w:bCs/>
                <w:sz w:val="24"/>
                <w:szCs w:val="24"/>
              </w:rPr>
              <w:t>Recommendation ITU-T X.1042 “Security services using the software-defined networking” (under approval)</w:t>
            </w:r>
            <w:r w:rsidRPr="004567E2">
              <w:rPr>
                <w:rFonts w:asciiTheme="majorBidi" w:hAnsiTheme="majorBidi" w:cstheme="majorBidi"/>
                <w:b/>
                <w:bCs/>
                <w:sz w:val="24"/>
                <w:szCs w:val="24"/>
              </w:rPr>
              <w:t xml:space="preserve"> </w:t>
            </w:r>
            <w:r w:rsidRPr="004567E2">
              <w:rPr>
                <w:rFonts w:asciiTheme="majorBidi" w:hAnsiTheme="majorBidi" w:cstheme="majorBidi"/>
                <w:bCs/>
                <w:sz w:val="24"/>
                <w:szCs w:val="24"/>
              </w:rPr>
              <w:t>supports the protection of network resources using security services based on software-defined networking (SDN). This Recommendation first classifies the network resources for SDN-based security services. These network resources are SDN application, SDN controller, SDN switch and security manager (SM). This Recommendation then defines security services based on SDN.</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sz w:val="24"/>
                <w:szCs w:val="24"/>
              </w:rPr>
            </w:pPr>
            <w:hyperlink r:id="rId618" w:history="1">
              <w:r w:rsidR="00A11163" w:rsidRPr="004567E2">
                <w:rPr>
                  <w:rStyle w:val="Hyperlink"/>
                  <w:rFonts w:ascii="Times New Roman" w:hAnsi="Times New Roman" w:cs="Times New Roman"/>
                  <w:sz w:val="24"/>
                  <w:szCs w:val="24"/>
                </w:rPr>
                <w:t>Recommendation ITU-T X.1331 “Security guidelines for home area network (HAN) devices in smart grid systems”</w:t>
              </w:r>
            </w:hyperlink>
            <w:r w:rsidR="00A11163" w:rsidRPr="004567E2">
              <w:rPr>
                <w:rFonts w:ascii="Times New Roman" w:hAnsi="Times New Roman" w:cs="Times New Roman"/>
                <w:sz w:val="24"/>
                <w:szCs w:val="24"/>
              </w:rPr>
              <w:t xml:space="preserve"> will provide threat analysis of the HAN in the smart grids, security requirements, and security functions. Since the role and functions of each HAN device are different, the security requirements and security functions by devices are provided.</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Recommendation ITU-T X.1361 "Security framework for the Internet of things based on the gateway model" describes a security framework for the Internet of things (IoT) using security gateways. This Recommendation analyses security threats and challenges in an IoT environment, and describes capabilities that could address and mitigate these threats and challenges. A framework methodology is provided for determining which security capabilities are required for mitigating and addressing these threats and challenges for the IoT.</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C2, C5,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sz w:val="24"/>
                <w:szCs w:val="24"/>
              </w:rPr>
            </w:pPr>
            <w:hyperlink r:id="rId619" w:history="1">
              <w:r w:rsidR="00A11163" w:rsidRPr="004567E2">
                <w:rPr>
                  <w:rStyle w:val="Hyperlink"/>
                  <w:rFonts w:ascii="Times New Roman" w:hAnsi="Times New Roman" w:cs="Times New Roman"/>
                  <w:sz w:val="24"/>
                  <w:szCs w:val="24"/>
                </w:rPr>
                <w:t>Supplement 13 to ITU-T X-series Recommendations - ITU-T X.1051 – “Supplement on Users’ guide for information security controls in telecommunications organizations”</w:t>
              </w:r>
            </w:hyperlink>
            <w:r w:rsidR="00A11163" w:rsidRPr="004567E2">
              <w:rPr>
                <w:rFonts w:ascii="Times New Roman" w:hAnsi="Times New Roman" w:cs="Times New Roman"/>
                <w:sz w:val="24"/>
                <w:szCs w:val="24"/>
              </w:rPr>
              <w:t xml:space="preserve"> provides interpretable guidance for users of </w:t>
            </w:r>
            <w:r w:rsidR="00A11163" w:rsidRPr="004567E2">
              <w:rPr>
                <w:rFonts w:ascii="Times New Roman" w:hAnsi="Times New Roman" w:cs="Times New Roman"/>
                <w:sz w:val="24"/>
                <w:szCs w:val="24"/>
              </w:rPr>
              <w:lastRenderedPageBreak/>
              <w:t>Recommendation ITU-T X.1051. This Supplement gives additional explanations and further implementation guidance for each clause and control specified in Recommendation ITU-T X.1051.</w:t>
            </w:r>
          </w:p>
        </w:tc>
        <w:tc>
          <w:tcPr>
            <w:tcW w:w="896"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lastRenderedPageBreak/>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sz w:val="24"/>
                <w:szCs w:val="24"/>
              </w:rPr>
            </w:pPr>
            <w:hyperlink r:id="rId620" w:history="1">
              <w:r w:rsidR="00A11163" w:rsidRPr="004567E2">
                <w:rPr>
                  <w:rStyle w:val="Hyperlink"/>
                  <w:rFonts w:ascii="Times New Roman" w:hAnsi="Times New Roman" w:cs="Times New Roman"/>
                  <w:sz w:val="24"/>
                  <w:szCs w:val="24"/>
                </w:rPr>
                <w:t>Supplement 33 to X-series Recommendations - ITU-T X.1231 “Technical framework for countering telephone service scam”</w:t>
              </w:r>
            </w:hyperlink>
            <w:r w:rsidR="00A11163" w:rsidRPr="004567E2">
              <w:rPr>
                <w:rFonts w:ascii="Times New Roman" w:hAnsi="Times New Roman" w:cs="Times New Roman"/>
                <w:sz w:val="24"/>
                <w:szCs w:val="24"/>
              </w:rPr>
              <w:t xml:space="preserve"> provides an overall technical framework for countering telephone service scam and related useful practices. In the framework, entity functions and processing procedures are specified. In addition, the useful practices provided in this Supplement cover most of the practices that are able to stop known telephone service scam methods. Besides, this Supplement specifies the characteristics and the source of the telephone service scam, and categorizes the main methods and relevant technical requirements according to the key technologies of the telephone service scam discovering, judgment, and disposition.</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C2, C5</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A11163" w:rsidP="00A11163">
            <w:pPr>
              <w:tabs>
                <w:tab w:val="left" w:pos="284"/>
                <w:tab w:val="left" w:pos="567"/>
                <w:tab w:val="left" w:pos="851"/>
                <w:tab w:val="left" w:pos="1418"/>
                <w:tab w:val="left" w:pos="1701"/>
                <w:tab w:val="left" w:pos="2552"/>
                <w:tab w:val="left" w:pos="2835"/>
                <w:tab w:val="left" w:pos="3119"/>
                <w:tab w:val="left" w:pos="3402"/>
                <w:tab w:val="left" w:pos="3686"/>
                <w:tab w:val="left" w:pos="3969"/>
              </w:tabs>
              <w:spacing w:after="120"/>
              <w:rPr>
                <w:rFonts w:asciiTheme="majorBidi" w:hAnsiTheme="majorBidi" w:cstheme="majorBidi"/>
                <w:bCs/>
                <w:sz w:val="24"/>
                <w:szCs w:val="24"/>
              </w:rPr>
            </w:pPr>
            <w:r w:rsidRPr="004567E2">
              <w:rPr>
                <w:rFonts w:asciiTheme="majorBidi" w:hAnsiTheme="majorBidi" w:cstheme="majorBidi"/>
                <w:bCs/>
                <w:sz w:val="24"/>
                <w:szCs w:val="24"/>
              </w:rPr>
              <w:t>Recommendation ITU-T X.1215 “Use Cases for Structured Threat Information Expression (STIX)” (under approval)</w:t>
            </w:r>
            <w:r w:rsidRPr="004567E2">
              <w:rPr>
                <w:rFonts w:asciiTheme="majorBidi" w:hAnsiTheme="majorBidi" w:cstheme="majorBidi"/>
                <w:b/>
                <w:bCs/>
                <w:sz w:val="24"/>
                <w:szCs w:val="24"/>
              </w:rPr>
              <w:t xml:space="preserve"> </w:t>
            </w:r>
            <w:r w:rsidRPr="004567E2">
              <w:rPr>
                <w:rFonts w:asciiTheme="majorBidi" w:hAnsiTheme="majorBidi" w:cstheme="majorBidi"/>
                <w:bCs/>
                <w:sz w:val="24"/>
                <w:szCs w:val="24"/>
              </w:rPr>
              <w:t xml:space="preserve">provides various use cases for how the STIX language may be used to support cyber threat intelligence and information sharing. This Recommendation also describes concepts and functionality of Structured Threat Information Expression (STIX). It is targeted to support a range of use cases involved in cyber threat management, including analyzing cyber threats, specifying indicator patterns for cyber threats, managing response activities, and sharing cyber threat information. Given this kind of information, a security decision can be made on how to best defend against the threat. It is intended to support both more effective analysis and the continued exchange of cyber threat information.  The STIX suite of specifications is maintained under the responsibility of OASIS. See </w:t>
            </w:r>
            <w:hyperlink r:id="rId621" w:history="1">
              <w:r w:rsidRPr="004567E2">
                <w:rPr>
                  <w:rStyle w:val="Hyperlink"/>
                  <w:rFonts w:asciiTheme="majorBidi" w:hAnsiTheme="majorBidi" w:cstheme="majorBidi"/>
                  <w:bCs/>
                  <w:sz w:val="24"/>
                  <w:szCs w:val="24"/>
                </w:rPr>
                <w:t>https://www.oasis-open.org/committees/tc_home.php?wg_abbrev=cti</w:t>
              </w:r>
            </w:hyperlink>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C2, C5</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tabs>
                <w:tab w:val="left" w:pos="284"/>
                <w:tab w:val="left" w:pos="567"/>
                <w:tab w:val="left" w:pos="851"/>
                <w:tab w:val="left" w:pos="1418"/>
                <w:tab w:val="left" w:pos="1701"/>
                <w:tab w:val="left" w:pos="2552"/>
                <w:tab w:val="left" w:pos="2835"/>
                <w:tab w:val="left" w:pos="3119"/>
                <w:tab w:val="left" w:pos="3402"/>
                <w:tab w:val="left" w:pos="3686"/>
                <w:tab w:val="left" w:pos="3969"/>
              </w:tabs>
              <w:spacing w:after="120"/>
              <w:rPr>
                <w:rFonts w:ascii="Times New Roman" w:hAnsi="Times New Roman" w:cs="Times New Roman"/>
                <w:bCs/>
                <w:sz w:val="24"/>
                <w:szCs w:val="24"/>
              </w:rPr>
            </w:pPr>
            <w:hyperlink r:id="rId622" w:history="1">
              <w:r w:rsidR="00A11163" w:rsidRPr="004567E2">
                <w:rPr>
                  <w:rStyle w:val="Hyperlink"/>
                  <w:rFonts w:ascii="Times New Roman" w:hAnsi="Times New Roman" w:cs="Times New Roman"/>
                  <w:bCs/>
                  <w:sz w:val="24"/>
                  <w:szCs w:val="24"/>
                </w:rPr>
                <w:t>Recommendation ITU-T X.1277 “FIDO Universal Authentication Framework (UAF)”</w:t>
              </w:r>
            </w:hyperlink>
            <w:r w:rsidR="00A11163" w:rsidRPr="004567E2">
              <w:rPr>
                <w:rFonts w:ascii="Times New Roman" w:hAnsi="Times New Roman" w:cs="Times New Roman"/>
                <w:bCs/>
                <w:sz w:val="24"/>
                <w:szCs w:val="24"/>
              </w:rPr>
              <w:t xml:space="preserve"> enables online services and websites, whether on the open Internet or within enterprises, to transparently leverage native security features of end-user </w:t>
            </w:r>
            <w:r w:rsidR="00A11163" w:rsidRPr="004567E2">
              <w:rPr>
                <w:rFonts w:ascii="Times New Roman" w:hAnsi="Times New Roman" w:cs="Times New Roman"/>
                <w:bCs/>
                <w:sz w:val="24"/>
                <w:szCs w:val="24"/>
              </w:rPr>
              <w:lastRenderedPageBreak/>
              <w:t>computing devices for strong user authentication and to reduce the problems associated with creating and remembering many online credentials.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lastRenderedPageBreak/>
              <w:t>C2, C5</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8.2, 9.1, 16.9</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tabs>
                <w:tab w:val="left" w:pos="284"/>
                <w:tab w:val="left" w:pos="567"/>
                <w:tab w:val="left" w:pos="851"/>
                <w:tab w:val="left" w:pos="1418"/>
                <w:tab w:val="left" w:pos="1701"/>
                <w:tab w:val="left" w:pos="2552"/>
                <w:tab w:val="left" w:pos="2835"/>
                <w:tab w:val="left" w:pos="3119"/>
                <w:tab w:val="left" w:pos="3402"/>
                <w:tab w:val="left" w:pos="3686"/>
                <w:tab w:val="left" w:pos="3969"/>
              </w:tabs>
              <w:spacing w:after="120"/>
              <w:rPr>
                <w:rFonts w:asciiTheme="majorBidi" w:hAnsiTheme="majorBidi" w:cstheme="majorBidi"/>
                <w:bCs/>
                <w:sz w:val="24"/>
                <w:szCs w:val="24"/>
              </w:rPr>
            </w:pPr>
            <w:hyperlink r:id="rId623" w:history="1">
              <w:r w:rsidR="00A11163" w:rsidRPr="004567E2">
                <w:rPr>
                  <w:rStyle w:val="Hyperlink"/>
                  <w:rFonts w:asciiTheme="majorBidi" w:hAnsiTheme="majorBidi" w:cstheme="majorBidi"/>
                  <w:bCs/>
                  <w:sz w:val="24"/>
                  <w:szCs w:val="24"/>
                </w:rPr>
                <w:t>Recommendation ITU-T X.1278 “Client To Authenticator Protocol/Universal 2-factor framework”</w:t>
              </w:r>
            </w:hyperlink>
            <w:r w:rsidR="00A11163" w:rsidRPr="004567E2">
              <w:rPr>
                <w:rFonts w:asciiTheme="majorBidi" w:hAnsiTheme="majorBidi" w:cstheme="majorBidi"/>
                <w:bCs/>
                <w:sz w:val="24"/>
                <w:szCs w:val="24"/>
              </w:rPr>
              <w:t xml:space="preserve"> describes an application layer protocol for communication between an external authenticator and another client/platform, as well as bindings of this application protocol to a variety of transport protocols using different physical media.</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C2, C5</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8.2, 9.1, 16.9</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tabs>
                <w:tab w:val="left" w:pos="284"/>
                <w:tab w:val="left" w:pos="567"/>
                <w:tab w:val="left" w:pos="851"/>
                <w:tab w:val="left" w:pos="1418"/>
                <w:tab w:val="left" w:pos="1701"/>
                <w:tab w:val="left" w:pos="2552"/>
                <w:tab w:val="left" w:pos="2835"/>
                <w:tab w:val="left" w:pos="3119"/>
                <w:tab w:val="left" w:pos="3402"/>
                <w:tab w:val="left" w:pos="3686"/>
                <w:tab w:val="left" w:pos="3969"/>
              </w:tabs>
              <w:spacing w:after="120"/>
              <w:rPr>
                <w:rFonts w:asciiTheme="majorBidi" w:hAnsiTheme="majorBidi" w:cstheme="majorBidi"/>
                <w:bCs/>
                <w:sz w:val="24"/>
                <w:szCs w:val="24"/>
                <w:lang w:eastAsia="ko-KR"/>
              </w:rPr>
            </w:pPr>
            <w:hyperlink r:id="rId624" w:history="1">
              <w:r w:rsidR="00A11163" w:rsidRPr="004567E2">
                <w:rPr>
                  <w:rStyle w:val="Hyperlink"/>
                  <w:rFonts w:asciiTheme="majorBidi" w:hAnsiTheme="majorBidi" w:cstheme="majorBidi"/>
                  <w:bCs/>
                  <w:sz w:val="24"/>
                  <w:szCs w:val="24"/>
                  <w:lang w:eastAsia="ko-KR"/>
                </w:rPr>
                <w:t>Recommendation ITU-T X.1093 “Telebiometric access control with smart ID cards”</w:t>
              </w:r>
            </w:hyperlink>
            <w:r w:rsidR="00A11163" w:rsidRPr="004567E2">
              <w:rPr>
                <w:rFonts w:asciiTheme="majorBidi" w:hAnsiTheme="majorBidi" w:cstheme="majorBidi"/>
                <w:bCs/>
                <w:sz w:val="24"/>
                <w:szCs w:val="24"/>
                <w:lang w:eastAsia="ko-KR"/>
              </w:rPr>
              <w:t xml:space="preserve"> </w:t>
            </w:r>
            <w:r w:rsidR="00A11163" w:rsidRPr="004567E2">
              <w:rPr>
                <w:rFonts w:asciiTheme="majorBidi" w:hAnsiTheme="majorBidi" w:cstheme="majorBidi"/>
                <w:b/>
                <w:bCs/>
                <w:sz w:val="24"/>
                <w:szCs w:val="24"/>
                <w:lang w:eastAsia="ko-KR"/>
              </w:rPr>
              <w:t xml:space="preserve"> </w:t>
            </w:r>
            <w:r w:rsidR="00A11163" w:rsidRPr="004567E2">
              <w:rPr>
                <w:rFonts w:asciiTheme="majorBidi" w:hAnsiTheme="majorBidi" w:cstheme="majorBidi"/>
                <w:bCs/>
                <w:sz w:val="24"/>
                <w:szCs w:val="24"/>
                <w:lang w:eastAsia="ko-KR"/>
              </w:rPr>
              <w:t>describes the general scheme for logical and/or physical access control using the biometrics-on-card. This Recommendation can be applied to the recent emerging area of requiring secure physical and also logical access control management.</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C2, C5</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tabs>
                <w:tab w:val="left" w:pos="284"/>
                <w:tab w:val="left" w:pos="567"/>
                <w:tab w:val="left" w:pos="851"/>
                <w:tab w:val="left" w:pos="1418"/>
                <w:tab w:val="left" w:pos="1701"/>
                <w:tab w:val="left" w:pos="2552"/>
                <w:tab w:val="left" w:pos="2835"/>
                <w:tab w:val="left" w:pos="3119"/>
                <w:tab w:val="left" w:pos="3402"/>
                <w:tab w:val="left" w:pos="3686"/>
                <w:tab w:val="left" w:pos="3969"/>
              </w:tabs>
              <w:spacing w:after="120"/>
              <w:rPr>
                <w:rFonts w:asciiTheme="majorBidi" w:hAnsiTheme="majorBidi" w:cstheme="majorBidi"/>
                <w:bCs/>
                <w:sz w:val="24"/>
                <w:szCs w:val="24"/>
                <w:lang w:eastAsia="ko-KR"/>
              </w:rPr>
            </w:pPr>
            <w:hyperlink r:id="rId625" w:history="1">
              <w:r w:rsidR="00A11163" w:rsidRPr="004567E2">
                <w:rPr>
                  <w:rStyle w:val="Hyperlink"/>
                  <w:rFonts w:asciiTheme="majorBidi" w:hAnsiTheme="majorBidi" w:cstheme="majorBidi"/>
                  <w:bCs/>
                  <w:sz w:val="24"/>
                  <w:szCs w:val="24"/>
                  <w:lang w:eastAsia="ko-KR"/>
                </w:rPr>
                <w:t>Recommendation ITU-T X.1147 “Security requirements and framework for big data analytics in mobile Internet services”</w:t>
              </w:r>
            </w:hyperlink>
            <w:r w:rsidR="00A11163" w:rsidRPr="004567E2">
              <w:rPr>
                <w:rFonts w:asciiTheme="majorBidi" w:hAnsiTheme="majorBidi" w:cstheme="majorBidi"/>
                <w:bCs/>
                <w:sz w:val="24"/>
                <w:szCs w:val="24"/>
                <w:lang w:eastAsia="ko-KR"/>
              </w:rPr>
              <w:t>mainly analyses the security requirements of big data analytics in mobile Internet services, and provide security framework.</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C2, C5, C6</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sz w:val="24"/>
                <w:szCs w:val="24"/>
              </w:rPr>
            </w:pPr>
            <w:hyperlink r:id="rId626" w:history="1">
              <w:r w:rsidR="00A11163" w:rsidRPr="004567E2">
                <w:rPr>
                  <w:rStyle w:val="Hyperlink"/>
                  <w:rFonts w:ascii="Times New Roman" w:hAnsi="Times New Roman" w:cs="Times New Roman"/>
                  <w:sz w:val="24"/>
                  <w:szCs w:val="24"/>
                </w:rPr>
                <w:t>Recommendation ITU-T X.1362 “Simple encryption procedure for Internet of things (IoT) environments”</w:t>
              </w:r>
            </w:hyperlink>
            <w:r w:rsidR="00A11163" w:rsidRPr="004567E2">
              <w:rPr>
                <w:rFonts w:ascii="Times New Roman" w:eastAsia="MS Mincho" w:hAnsi="Times New Roman" w:cs="Times New Roman"/>
                <w:sz w:val="24"/>
                <w:szCs w:val="24"/>
              </w:rPr>
              <w:t xml:space="preserve"> </w:t>
            </w:r>
            <w:r w:rsidR="00A11163" w:rsidRPr="004567E2">
              <w:rPr>
                <w:rFonts w:ascii="Times New Roman" w:hAnsi="Times New Roman" w:cs="Times New Roman"/>
                <w:sz w:val="24"/>
                <w:szCs w:val="24"/>
              </w:rPr>
              <w:t>specifies encryption with associated mask data (EAMD) for the Internet of things (IoT) devices. It describes EAMD and how it provides a set of security services for traffic using it.</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C2, C5,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sz w:val="24"/>
                <w:szCs w:val="24"/>
              </w:rPr>
            </w:pPr>
            <w:hyperlink r:id="rId627" w:history="1">
              <w:r w:rsidR="00A11163" w:rsidRPr="004567E2">
                <w:rPr>
                  <w:rStyle w:val="Hyperlink"/>
                  <w:rFonts w:ascii="Times New Roman" w:hAnsi="Times New Roman" w:cs="Times New Roman"/>
                  <w:sz w:val="24"/>
                  <w:szCs w:val="24"/>
                </w:rPr>
                <w:t>Recommendation ITU-T X.1373 “Secure software update capability for intelligent transportation system communication devices”</w:t>
              </w:r>
            </w:hyperlink>
            <w:r w:rsidR="00A11163" w:rsidRPr="004567E2">
              <w:rPr>
                <w:rFonts w:ascii="Times New Roman" w:hAnsi="Times New Roman" w:cs="Times New Roman"/>
                <w:b/>
                <w:bCs/>
                <w:sz w:val="24"/>
                <w:szCs w:val="24"/>
                <w:lang w:eastAsia="ko-KR"/>
              </w:rPr>
              <w:t xml:space="preserve"> </w:t>
            </w:r>
            <w:r w:rsidR="00A11163" w:rsidRPr="004567E2">
              <w:rPr>
                <w:rFonts w:ascii="Times New Roman" w:eastAsia="SimSun" w:hAnsi="Times New Roman" w:cs="Times New Roman"/>
                <w:sz w:val="24"/>
                <w:szCs w:val="24"/>
                <w:lang w:eastAsia="ja-JP"/>
              </w:rPr>
              <w:t>provides secure software update procedures between software update server and vehicles with appropriate security controls. This Recommendation can be practically utilized by car manufactures and ITS-related industries as a set of standard capabilities for best practices.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eastAsia="SimSun" w:hAnsi="Times New Roman" w:cs="Times New Roman"/>
                <w:sz w:val="24"/>
                <w:szCs w:val="24"/>
              </w:rPr>
            </w:pPr>
            <w:hyperlink r:id="rId628" w:history="1">
              <w:r w:rsidR="00A11163" w:rsidRPr="004567E2">
                <w:rPr>
                  <w:rStyle w:val="Hyperlink"/>
                  <w:rFonts w:ascii="Times New Roman" w:eastAsia="SimSun" w:hAnsi="Times New Roman" w:cs="Times New Roman"/>
                  <w:sz w:val="24"/>
                  <w:szCs w:val="24"/>
                </w:rPr>
                <w:t>Recommendation ITU-T X.1500 “Overview of cybersecurity information exchange”</w:t>
              </w:r>
            </w:hyperlink>
            <w:r w:rsidR="00A11163" w:rsidRPr="004567E2">
              <w:rPr>
                <w:rFonts w:ascii="Times New Roman" w:eastAsia="SimSun" w:hAnsi="Times New Roman" w:cs="Times New Roman"/>
                <w:sz w:val="24"/>
                <w:szCs w:val="24"/>
              </w:rPr>
              <w:t xml:space="preserve"> describes techniques for exchanging cybersecurity information. These techniques can be used individually or in combinations, as desired or appropriate, </w:t>
            </w:r>
            <w:r w:rsidR="00A11163" w:rsidRPr="004567E2">
              <w:rPr>
                <w:rFonts w:ascii="Times New Roman" w:eastAsia="SimSun" w:hAnsi="Times New Roman" w:cs="Times New Roman"/>
                <w:sz w:val="24"/>
                <w:szCs w:val="24"/>
              </w:rPr>
              <w:lastRenderedPageBreak/>
              <w:t>to enhance cybersecurity through coherent, comprehensive, global, timely and assured information exchange. No obligations to exchange information are implied, nor are the means of acquisition or ultimate use of the information treated. Cybersecurity information exchange (CYBEX) is one of the elements providing confidence and security in the use of ICTs.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eastAsia="SimSun" w:hAnsi="Times New Roman" w:cs="Times New Roman"/>
                <w:sz w:val="24"/>
                <w:szCs w:val="24"/>
              </w:rPr>
            </w:pPr>
            <w:hyperlink r:id="rId629" w:history="1">
              <w:r w:rsidR="00A11163" w:rsidRPr="004567E2">
                <w:rPr>
                  <w:rStyle w:val="Hyperlink"/>
                  <w:rFonts w:ascii="Times New Roman" w:eastAsia="SimSun" w:hAnsi="Times New Roman" w:cs="Times New Roman"/>
                  <w:sz w:val="24"/>
                  <w:szCs w:val="24"/>
                </w:rPr>
                <w:t>Recommendation ITU-T X.1500 Amd.12 “Overview of cybersecurity information exchange (CYBEX)”</w:t>
              </w:r>
            </w:hyperlink>
            <w:r w:rsidR="00A11163" w:rsidRPr="004567E2">
              <w:rPr>
                <w:rFonts w:ascii="Times New Roman" w:eastAsia="SimSun" w:hAnsi="Times New Roman" w:cs="Times New Roman"/>
                <w:sz w:val="24"/>
                <w:szCs w:val="24"/>
              </w:rPr>
              <w:t xml:space="preserve"> provides a list of structured cybersecurity information techniques that have been created to be continually updated as these techniques evolve, expand, are newly identified or are replaced. The list follows the outline provided in the body of the Recommendation. This amendment reflects the situation of recommended techniques as of March 2018, including bibliographical references.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eastAsia="SimSun" w:hAnsi="Times New Roman" w:cs="Times New Roman"/>
                <w:sz w:val="24"/>
                <w:szCs w:val="24"/>
              </w:rPr>
            </w:pPr>
            <w:hyperlink r:id="rId630" w:history="1">
              <w:r w:rsidR="00A11163" w:rsidRPr="004567E2">
                <w:rPr>
                  <w:rStyle w:val="Hyperlink"/>
                  <w:rFonts w:ascii="Times New Roman" w:eastAsia="SimSun" w:hAnsi="Times New Roman" w:cs="Times New Roman"/>
                  <w:sz w:val="24"/>
                  <w:szCs w:val="24"/>
                </w:rPr>
                <w:t>Recommendation ITU-T X.1500.1 “Procedures for the registration of arcs under the object identifier arc for cybersecurity information exchange”</w:t>
              </w:r>
            </w:hyperlink>
            <w:r w:rsidR="00A11163" w:rsidRPr="004567E2">
              <w:rPr>
                <w:rFonts w:ascii="Times New Roman" w:eastAsia="SimSun" w:hAnsi="Times New Roman" w:cs="Times New Roman"/>
                <w:sz w:val="24"/>
                <w:szCs w:val="24"/>
              </w:rPr>
              <w:t xml:space="preserve"> provides for the registration of OID arcs which enable coherent, unique and global identification of cybersecurity information as well as for organizations exchanging that information and associated policies. This Recommendation specifies the information and justification to be provided when requesting an OID for cybersecurity information exchange purposes, and the procedures for the operation of the Registration Authority.</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eastAsia="SimSun" w:hAnsi="Times New Roman" w:cs="Times New Roman"/>
                <w:sz w:val="24"/>
                <w:szCs w:val="24"/>
              </w:rPr>
            </w:pPr>
            <w:hyperlink r:id="rId631" w:history="1">
              <w:r w:rsidR="00A11163" w:rsidRPr="004567E2">
                <w:rPr>
                  <w:rStyle w:val="Hyperlink"/>
                  <w:rFonts w:ascii="Times New Roman" w:eastAsia="SimSun" w:hAnsi="Times New Roman" w:cs="Times New Roman"/>
                  <w:sz w:val="24"/>
                  <w:szCs w:val="24"/>
                </w:rPr>
                <w:t>Recommendation ITU-T X.1520 “</w:t>
              </w:r>
              <w:r w:rsidR="00A11163" w:rsidRPr="004567E2">
                <w:rPr>
                  <w:rStyle w:val="Hyperlink"/>
                  <w:rFonts w:ascii="Times New Roman" w:hAnsi="Times New Roman" w:cs="Times New Roman"/>
                  <w:sz w:val="24"/>
                  <w:szCs w:val="24"/>
                </w:rPr>
                <w:t>Common vulnerabilities and exposures</w:t>
              </w:r>
              <w:r w:rsidR="00A11163" w:rsidRPr="004567E2">
                <w:rPr>
                  <w:rStyle w:val="Hyperlink"/>
                  <w:rFonts w:ascii="Times New Roman" w:eastAsia="SimSun" w:hAnsi="Times New Roman" w:cs="Times New Roman"/>
                  <w:sz w:val="24"/>
                  <w:szCs w:val="24"/>
                </w:rPr>
                <w:t>”</w:t>
              </w:r>
            </w:hyperlink>
            <w:r w:rsidR="00A11163" w:rsidRPr="004567E2">
              <w:rPr>
                <w:rFonts w:ascii="Times New Roman" w:eastAsia="SimSun" w:hAnsi="Times New Roman" w:cs="Times New Roman"/>
                <w:sz w:val="24"/>
                <w:szCs w:val="24"/>
              </w:rPr>
              <w:t xml:space="preserve"> provides a structured means to exchange information security vulnerabilities and exposures, which provides common names for publicly known problems </w:t>
            </w:r>
            <w:r w:rsidR="00A11163" w:rsidRPr="004567E2">
              <w:rPr>
                <w:rFonts w:ascii="Times New Roman" w:hAnsi="Times New Roman" w:cs="Times New Roman"/>
                <w:sz w:val="24"/>
                <w:szCs w:val="24"/>
              </w:rPr>
              <w:t xml:space="preserve">in the commercial or open source software used in communication networks, end-user devices or any of the other types of information and communication technology (ICT) capable of running software. </w:t>
            </w:r>
            <w:r w:rsidR="00A11163" w:rsidRPr="004567E2">
              <w:rPr>
                <w:rFonts w:ascii="Times New Roman" w:eastAsia="SimSun" w:hAnsi="Times New Roman" w:cs="Times New Roman"/>
                <w:sz w:val="24"/>
                <w:szCs w:val="24"/>
              </w:rPr>
              <w:t>This Recommendation defines the use of CVE to provide a mechanism for vulnerability databases and other capabilities to be used together, and to facilitate the comparison of security tools and services.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632" w:history="1">
              <w:r w:rsidR="00A11163" w:rsidRPr="004567E2">
                <w:rPr>
                  <w:rStyle w:val="Hyperlink"/>
                  <w:rFonts w:ascii="Times New Roman" w:hAnsi="Times New Roman" w:cs="Times New Roman"/>
                  <w:sz w:val="24"/>
                  <w:szCs w:val="24"/>
                </w:rPr>
                <w:t>Recommendation ITU-T X.1521 “Common vulnerability scoring system 3.0”</w:t>
              </w:r>
            </w:hyperlink>
            <w:r w:rsidR="00A11163" w:rsidRPr="004567E2">
              <w:rPr>
                <w:rFonts w:ascii="Times New Roman" w:hAnsi="Times New Roman" w:cs="Times New Roman"/>
                <w:sz w:val="24"/>
                <w:szCs w:val="24"/>
              </w:rPr>
              <w:t xml:space="preserve"> provides an open framework for communicating the characteristics and impacts of information and communication technologies (ICT) vulnerabilities in the commercial or open source software used in communications networks, end user devices, or any of the other types of ICT capable of running software. The goal of the Recommendation is to enable ICT managers, vulnerability bulletin providers, security vendors, application vendors and researchers to speak from a common language of scoring ICT vulnerabilities.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633" w:history="1">
              <w:r w:rsidR="00A11163" w:rsidRPr="004567E2">
                <w:rPr>
                  <w:rStyle w:val="Hyperlink"/>
                  <w:rFonts w:ascii="Times New Roman" w:hAnsi="Times New Roman" w:cs="Times New Roman"/>
                  <w:sz w:val="24"/>
                  <w:szCs w:val="24"/>
                </w:rPr>
                <w:t>Recommendation ITU-T X.1524 “Common weakness enumeration”</w:t>
              </w:r>
            </w:hyperlink>
            <w:r w:rsidR="00A11163" w:rsidRPr="004567E2">
              <w:rPr>
                <w:rFonts w:ascii="Times New Roman" w:hAnsi="Times New Roman" w:cs="Times New Roman"/>
                <w:sz w:val="24"/>
                <w:szCs w:val="24"/>
              </w:rPr>
              <w:t xml:space="preserve"> provides a structured means to exchange information security weaknesses that provides common names for publicly known problems in the commercial or open source software used in communication networks, end user devices, or any of the other types of information and communications technology (ICT) capable of running software. This Recommendation defines the use of CWE to provide a mechanism for software security tools, services, knowledge bases and other capabilities to be used together, and to facilitate the comparison of security tools and services. CWE also offers supportive context information about possible risks, impacts, fix information, and detailed technical information about what the software weaknesses could mean to a software system.</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634" w:history="1">
              <w:r w:rsidR="00A11163" w:rsidRPr="004567E2">
                <w:rPr>
                  <w:rStyle w:val="Hyperlink"/>
                  <w:rFonts w:ascii="Times New Roman" w:hAnsi="Times New Roman" w:cs="Times New Roman"/>
                  <w:sz w:val="24"/>
                  <w:szCs w:val="24"/>
                </w:rPr>
                <w:t>Recommendation ITU-T X.1525 “Common weakness scoring system”</w:t>
              </w:r>
            </w:hyperlink>
            <w:r w:rsidR="00A11163" w:rsidRPr="004567E2">
              <w:rPr>
                <w:rFonts w:ascii="Times New Roman" w:hAnsi="Times New Roman" w:cs="Times New Roman"/>
                <w:sz w:val="24"/>
                <w:szCs w:val="24"/>
              </w:rPr>
              <w:t xml:space="preserve"> provides an open framework for communicating the characteristics and impact of information and communication technologies (ICT) weaknesses during development of software capabilities. The goal of this Recommendation is to enable ICT software developers, managers, testers, security vendors and service suppliers, buyers, application vendors and researchers to speak from a common language of scoring ICT weaknesses that could manifest as vulnerabilities when the software is used.’</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635" w:history="1">
              <w:r w:rsidR="00A11163" w:rsidRPr="004567E2">
                <w:rPr>
                  <w:rStyle w:val="Hyperlink"/>
                  <w:rFonts w:ascii="Times New Roman" w:hAnsi="Times New Roman" w:cs="Times New Roman"/>
                  <w:sz w:val="24"/>
                  <w:szCs w:val="24"/>
                </w:rPr>
                <w:t>Recommendation ITU-T X.1526 “Language for the open definition of vulnerabilities and for the assessment of a system state”</w:t>
              </w:r>
            </w:hyperlink>
            <w:r w:rsidR="00A11163" w:rsidRPr="004567E2">
              <w:rPr>
                <w:rFonts w:ascii="Times New Roman" w:hAnsi="Times New Roman" w:cs="Times New Roman"/>
                <w:sz w:val="24"/>
                <w:szCs w:val="24"/>
              </w:rPr>
              <w:t xml:space="preserve"> includes the three main steps of the assessment process: representing configuration information of </w:t>
            </w:r>
            <w:r w:rsidR="00A11163" w:rsidRPr="004567E2">
              <w:rPr>
                <w:rFonts w:ascii="Times New Roman" w:hAnsi="Times New Roman" w:cs="Times New Roman"/>
                <w:sz w:val="24"/>
                <w:szCs w:val="24"/>
              </w:rPr>
              <w:lastRenderedPageBreak/>
              <w:t>endpoints for testing; analysing the endpoint for the presence of the specified machine state (vulnerability, configuration, patch state, etc.) and reporting the results of this assessment. The purpose of OVAL is to provide an international, information security, community standard to promote open and publicly available security content and to standardize the transfer of this information across the entire spectrum of security tools and services. OVAL is a language used to encode endpoint details, and an assortment of content repositories held throughout the community.</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636" w:history="1">
              <w:r w:rsidR="00A11163" w:rsidRPr="004567E2">
                <w:rPr>
                  <w:rStyle w:val="Hyperlink"/>
                  <w:rFonts w:ascii="Times New Roman" w:hAnsi="Times New Roman" w:cs="Times New Roman"/>
                  <w:sz w:val="24"/>
                  <w:szCs w:val="24"/>
                </w:rPr>
                <w:t>Recommendation ITU-T X.1528 “Common platform enumeration”</w:t>
              </w:r>
            </w:hyperlink>
            <w:r w:rsidR="00A11163" w:rsidRPr="004567E2">
              <w:rPr>
                <w:rFonts w:ascii="Times New Roman" w:hAnsi="Times New Roman" w:cs="Times New Roman"/>
                <w:sz w:val="24"/>
                <w:szCs w:val="24"/>
              </w:rPr>
              <w:t xml:space="preserve"> provides a structured method of describing and identifying classes of applications, operating systems, and hardware devices present among an enterprise's computing assets. Common platform enumeration (CPE) is defined through a set of specifications in a stack</w:t>
            </w:r>
            <w:r w:rsidR="00A11163" w:rsidRPr="004567E2">
              <w:rPr>
                <w:rFonts w:ascii="Times New Roman" w:hAnsi="Times New Roman" w:cs="Times New Roman"/>
                <w:sz w:val="24"/>
                <w:szCs w:val="24"/>
              </w:rPr>
              <w:noBreakHyphen/>
              <w:t>based model, where capabilities are based on simpler, more narrowly defined elements that are specified lower in the stack. The stack consists of a dictionary specification and an applicability language specification that rely on a name matching specification which relies on a naming specification.</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637" w:history="1">
              <w:r w:rsidR="00A11163" w:rsidRPr="004567E2">
                <w:rPr>
                  <w:rStyle w:val="Hyperlink"/>
                  <w:rFonts w:ascii="Times New Roman" w:hAnsi="Times New Roman" w:cs="Times New Roman"/>
                  <w:sz w:val="24"/>
                  <w:szCs w:val="24"/>
                </w:rPr>
                <w:t>Recommendation ITU-T X.1528.1 “Common platform enumeration naming”</w:t>
              </w:r>
            </w:hyperlink>
            <w:r w:rsidR="00A11163" w:rsidRPr="004567E2">
              <w:rPr>
                <w:rFonts w:ascii="Times New Roman" w:hAnsi="Times New Roman" w:cs="Times New Roman"/>
                <w:sz w:val="24"/>
                <w:szCs w:val="24"/>
              </w:rPr>
              <w:t xml:space="preserve"> defines the logical structure of names for IT product classes and the procedures for binding and unbinding these names to and from machine-readable encodings. This Recommendation also defines and explains the requirements that IT products must meet to claim conformance with this Recommendation. This is achieved by listing the relevant clauses of the NIST Interagency Report 7696 Common Platform Enumeration: Name Matching Specification version 2.3 and showing whether they are normative or informative.</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638" w:history="1">
              <w:r w:rsidR="00A11163" w:rsidRPr="004567E2">
                <w:rPr>
                  <w:rStyle w:val="Hyperlink"/>
                  <w:rFonts w:ascii="Times New Roman" w:hAnsi="Times New Roman" w:cs="Times New Roman"/>
                  <w:sz w:val="24"/>
                  <w:szCs w:val="24"/>
                </w:rPr>
                <w:t>Recommendation ITU-T X.1528.2 “Common platform enumeration name matching”</w:t>
              </w:r>
            </w:hyperlink>
            <w:r w:rsidR="00A11163" w:rsidRPr="004567E2">
              <w:rPr>
                <w:rFonts w:ascii="Times New Roman" w:hAnsi="Times New Roman" w:cs="Times New Roman"/>
                <w:sz w:val="24"/>
                <w:szCs w:val="24"/>
              </w:rPr>
              <w:t xml:space="preserve"> defines the specification for common platform enumeration (CPE) name matching. The CPE name matching specification is part of a stack of CPE specifications that support a variety of use cases relating to IT product description and naming. The CPE name matching specification provides a method for </w:t>
            </w:r>
            <w:r w:rsidR="00A11163" w:rsidRPr="004567E2">
              <w:rPr>
                <w:rFonts w:ascii="Times New Roman" w:hAnsi="Times New Roman" w:cs="Times New Roman"/>
                <w:sz w:val="24"/>
                <w:szCs w:val="24"/>
              </w:rPr>
              <w:lastRenderedPageBreak/>
              <w:t>conducting a one-to-one comparison of a source CPE name to a target CPE name. In addition to defining the specification, this Recommendation also defines and explains the requirements that IT products must meet to claim compliance. This is achieved by listing the relevant clauses of the NIST Interagency Report 7696 Common Platform Enumeration: Name Matching Specification version 2.3 and showing whether they are normative or informative.</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639" w:history="1">
              <w:r w:rsidR="00A11163" w:rsidRPr="004567E2">
                <w:rPr>
                  <w:rStyle w:val="Hyperlink"/>
                  <w:rFonts w:ascii="Times New Roman" w:hAnsi="Times New Roman" w:cs="Times New Roman"/>
                  <w:sz w:val="24"/>
                  <w:szCs w:val="24"/>
                </w:rPr>
                <w:t>Recommendation ITU-T X.1528.3 “Common platform enumeration dictionary”</w:t>
              </w:r>
            </w:hyperlink>
            <w:r w:rsidR="00A11163" w:rsidRPr="004567E2">
              <w:rPr>
                <w:rFonts w:ascii="Times New Roman" w:hAnsi="Times New Roman" w:cs="Times New Roman"/>
                <w:sz w:val="24"/>
                <w:szCs w:val="24"/>
              </w:rPr>
              <w:t xml:space="preserve"> defines the common platform enumeration (CPE) dictionary specification. The CPE dictionary specification is a part of a stack of CPE specifications that support a variety of use cases relating to information technology (IT) product description and naming. An individual CPE dictionary is a repository of IT product names, with each name in the repository identifying a unique class of IT product in the world. This specification defines the semantics of the CPE Dictionary data model and the rules associated with CPE dictionary creation and management. This Recommendation also defines and explains the requirements that IT products and services, including CPE dictionaries, must meet to claim compliance with this Recommendation. This is achieved by listing the relevant clauses of the NIST Interagency Report 7697 Common Platform Enumeration: Name Matching Specification version 2.3 and showing whether they are normative or informative.</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sz w:val="24"/>
                <w:szCs w:val="24"/>
              </w:rPr>
            </w:pPr>
            <w:hyperlink r:id="rId640" w:history="1">
              <w:r w:rsidR="00A11163" w:rsidRPr="004567E2">
                <w:rPr>
                  <w:rStyle w:val="Hyperlink"/>
                  <w:rFonts w:ascii="Times New Roman" w:hAnsi="Times New Roman" w:cs="Times New Roman"/>
                  <w:sz w:val="24"/>
                  <w:szCs w:val="24"/>
                </w:rPr>
                <w:t>Recommendation ITU-T X.1528.4 “Common platform enumeration applicability language”</w:t>
              </w:r>
            </w:hyperlink>
            <w:r w:rsidR="00A11163" w:rsidRPr="004567E2">
              <w:rPr>
                <w:rFonts w:ascii="Times New Roman" w:hAnsi="Times New Roman" w:cs="Times New Roman"/>
                <w:sz w:val="24"/>
                <w:szCs w:val="24"/>
              </w:rPr>
              <w:t xml:space="preserve"> defines the specification for common platform enumeration (CPE) applicability language. The CPE applicability language specification is part of a stack of CPE specifications that support a variety of use cases relating to IT product description and naming. The CPE applicability language data model builds on top of other CPE specifications to provide the functionality required to allow CPE users to construct complex groupings of CPE names to describe IT platforms. These groupings are referred to as applicability statements because they are used to designate the platforms to which particular guidance, policies, etc. apply. This Recommendation defines the semantics of the CPE applicability language data </w:t>
            </w:r>
            <w:r w:rsidR="00A11163" w:rsidRPr="004567E2">
              <w:rPr>
                <w:rFonts w:ascii="Times New Roman" w:hAnsi="Times New Roman" w:cs="Times New Roman"/>
                <w:sz w:val="24"/>
                <w:szCs w:val="24"/>
              </w:rPr>
              <w:lastRenderedPageBreak/>
              <w:t>model and the requirements that IT products and CPE applicability language documents must meet to claim compliance with this Recommendation.</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641" w:history="1">
              <w:r w:rsidR="00A11163" w:rsidRPr="004567E2">
                <w:rPr>
                  <w:rStyle w:val="Hyperlink"/>
                  <w:rFonts w:ascii="Times New Roman" w:hAnsi="Times New Roman" w:cs="Times New Roman"/>
                  <w:sz w:val="24"/>
                  <w:szCs w:val="24"/>
                </w:rPr>
                <w:t>Recommendation ITU-T X.1541 “Incident object description exchange format version 2”</w:t>
              </w:r>
            </w:hyperlink>
            <w:r w:rsidR="00A11163" w:rsidRPr="004567E2">
              <w:rPr>
                <w:rFonts w:ascii="Times New Roman" w:hAnsi="Times New Roman" w:cs="Times New Roman"/>
                <w:sz w:val="24"/>
                <w:szCs w:val="24"/>
              </w:rPr>
              <w:t xml:space="preserve"> describes the information model for the incident object description exchange format (IODEF) version 2 and provides an associated data model specified with XML schema. The IODEF specifies a data model representation for sharing commonly exchanged information about computer security or other incident types. This is achieved by listing the relevant clauses of IETF RFC 7970 and showing whether they are normative or informative.</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642" w:history="1">
              <w:r w:rsidR="00A11163" w:rsidRPr="004567E2">
                <w:rPr>
                  <w:rStyle w:val="Hyperlink"/>
                  <w:rFonts w:ascii="Times New Roman" w:hAnsi="Times New Roman" w:cs="Times New Roman"/>
                  <w:sz w:val="24"/>
                  <w:szCs w:val="24"/>
                </w:rPr>
                <w:t>Recommendation ITU-T X.1542 “Session information message exchange format”</w:t>
              </w:r>
            </w:hyperlink>
            <w:r w:rsidR="00A11163" w:rsidRPr="004567E2">
              <w:rPr>
                <w:rFonts w:ascii="Times New Roman" w:hAnsi="Times New Roman" w:cs="Times New Roman"/>
                <w:sz w:val="24"/>
                <w:szCs w:val="24"/>
              </w:rPr>
              <w:t xml:space="preserve"> describes an information model for the session information message exchange format (SIMEF) and provides an associated data model specified with an extensible markup language (XML) schema. The SIMEF defines a data model representation for sharing transport layer session log information about centralized network security management and the security information exchange system. The specification of any transport protocol is beyond the scope of this Recommendation.</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643" w:history="1">
              <w:r w:rsidR="00A11163" w:rsidRPr="004567E2">
                <w:rPr>
                  <w:rStyle w:val="Hyperlink"/>
                  <w:rFonts w:ascii="Times New Roman" w:hAnsi="Times New Roman" w:cs="Times New Roman"/>
                  <w:sz w:val="24"/>
                  <w:szCs w:val="24"/>
                </w:rPr>
                <w:t>Recommendation ITU-T X.1546 “Common attack pattern enumeration and classification”</w:t>
              </w:r>
            </w:hyperlink>
            <w:r w:rsidR="00A11163" w:rsidRPr="004567E2">
              <w:rPr>
                <w:rFonts w:ascii="Times New Roman" w:hAnsi="Times New Roman" w:cs="Times New Roman"/>
                <w:sz w:val="24"/>
                <w:szCs w:val="24"/>
              </w:rPr>
              <w:t xml:space="preserve"> is an XML/XSD-based specification for the identification, description, and enumeration of attack patterns. Attack patterns are a powerful mechanism to capture and communicate the attacker's perspective. They are descriptions of common methods for exploiting software. They derive from the concept of design patterns applied in a destructive rather than constructive context and are generated from in-depth analysis of specific real-world exploit examples. The objective of the common attack pattern enumeration and classification (CAPEC) is to provide a publicly available catalogue of attack patterns along with a comprehensive schema and classification taxonomy.</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644" w:history="1">
              <w:r w:rsidR="00A11163" w:rsidRPr="004567E2">
                <w:rPr>
                  <w:rStyle w:val="Hyperlink"/>
                  <w:rFonts w:ascii="Times New Roman" w:hAnsi="Times New Roman" w:cs="Times New Roman"/>
                  <w:sz w:val="24"/>
                  <w:szCs w:val="24"/>
                </w:rPr>
                <w:t>Recommendation ITU-T X.1550 “Access control models for incidents exchange networks”</w:t>
              </w:r>
            </w:hyperlink>
            <w:r w:rsidR="00A11163" w:rsidRPr="004567E2">
              <w:rPr>
                <w:rFonts w:ascii="Times New Roman" w:hAnsi="Times New Roman" w:cs="Times New Roman"/>
                <w:sz w:val="24"/>
                <w:szCs w:val="24"/>
              </w:rPr>
              <w:t xml:space="preserve"> introduces existing approaches for implementing access control policies </w:t>
            </w:r>
            <w:r w:rsidR="00A11163" w:rsidRPr="004567E2">
              <w:rPr>
                <w:rFonts w:ascii="Times New Roman" w:hAnsi="Times New Roman" w:cs="Times New Roman"/>
                <w:sz w:val="24"/>
                <w:szCs w:val="24"/>
              </w:rPr>
              <w:lastRenderedPageBreak/>
              <w:t>for incident exchange networks. This Recommendation introduces a variety of well-established access control models, sharing models as well as criteria for evaluating incident exchange network performance. Standards-based solutions are considered to facilitate implementation of different access control models within different cybersecurity information sharing models and under diverse trust environments.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645" w:history="1">
              <w:r w:rsidR="00A11163" w:rsidRPr="004567E2">
                <w:rPr>
                  <w:rStyle w:val="Hyperlink"/>
                  <w:rFonts w:ascii="Times New Roman" w:hAnsi="Times New Roman" w:cs="Times New Roman"/>
                  <w:sz w:val="24"/>
                  <w:szCs w:val="24"/>
                </w:rPr>
                <w:t>Recommendation ITU-T X.1570 “Discovery mechanisms in the exchange of cybersecurity information”</w:t>
              </w:r>
            </w:hyperlink>
            <w:r w:rsidR="00A11163" w:rsidRPr="004567E2">
              <w:rPr>
                <w:rFonts w:ascii="Times New Roman" w:hAnsi="Times New Roman" w:cs="Times New Roman"/>
                <w:sz w:val="24"/>
                <w:szCs w:val="24"/>
              </w:rPr>
              <w:t xml:space="preserve"> provides a framework for discovering cybersecurity information and the mechanism that enables this. Discovery can be seen as a stage of the cybersecurity information lifecycle adjacent to information publishing and acquisition, which are integral and necessary stages for discovery. Thus, the framework covers how to publish cybersecurity information, obtain the candidate list, and acquire the needed information. A discovery scheme may be implemented with arbitrary mechanisms so long as they comply with the framework. Among these mechanisms are object identifier (OID)-based discovery and resource description framework (RDF)-based discovery, which are also elaborated in this Recommendation.</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sz w:val="24"/>
                <w:szCs w:val="24"/>
              </w:rPr>
            </w:pPr>
            <w:hyperlink r:id="rId646" w:history="1">
              <w:r w:rsidR="00A11163" w:rsidRPr="004567E2">
                <w:rPr>
                  <w:rStyle w:val="Hyperlink"/>
                  <w:rFonts w:ascii="Times New Roman" w:hAnsi="Times New Roman" w:cs="Times New Roman"/>
                  <w:sz w:val="24"/>
                  <w:szCs w:val="24"/>
                </w:rPr>
                <w:t>Recommendation ITU-T X.1580 “Real-time inter-network defence”</w:t>
              </w:r>
            </w:hyperlink>
            <w:r w:rsidR="00A11163" w:rsidRPr="004567E2">
              <w:rPr>
                <w:rFonts w:ascii="Times New Roman" w:hAnsi="Times New Roman" w:cs="Times New Roman"/>
                <w:sz w:val="24"/>
                <w:szCs w:val="24"/>
              </w:rPr>
              <w:t xml:space="preserve"> outlines a proactive inter-network communication method to facilitate the automation of sharing incident handling information. Implementations may integrate with existing incident management systems as well as detection, source identification, and mitigation mechanisms for a more complete incident handling solution. RID specifies a method to securely communicate incident information, enabling the exchange of incident object description exchange format (IODEF) extensible markup language (XML) documents. RID provides a technical means to convey security, policy, and privacy controls to enable the exchange of potentially sensitive information. The technical capabilities can be mapped to the appropriate policies to enable service providers or organizations the option to make appropriate decisions according to their policies.</w:t>
            </w:r>
            <w:r w:rsidR="00A11163" w:rsidRPr="004567E2">
              <w:rPr>
                <w:rFonts w:ascii="Times New Roman" w:hAnsi="Times New Roman" w:cs="Times New Roman"/>
                <w:sz w:val="24"/>
                <w:szCs w:val="24"/>
              </w:rPr>
              <w:br/>
            </w:r>
            <w:r w:rsidR="00A11163" w:rsidRPr="004567E2">
              <w:rPr>
                <w:rFonts w:ascii="Times New Roman" w:hAnsi="Times New Roman" w:cs="Times New Roman"/>
                <w:sz w:val="24"/>
                <w:szCs w:val="24"/>
              </w:rPr>
              <w:lastRenderedPageBreak/>
              <w:t>This Recommendation specifies RID by listing the relevant clauses of IETF RFC 6545 and showing whether they are normative or informative.</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sz w:val="24"/>
                <w:szCs w:val="24"/>
              </w:rPr>
            </w:pPr>
            <w:hyperlink r:id="rId647" w:history="1">
              <w:r w:rsidR="00A11163" w:rsidRPr="004567E2">
                <w:rPr>
                  <w:rStyle w:val="Hyperlink"/>
                  <w:rFonts w:ascii="Times New Roman" w:hAnsi="Times New Roman" w:cs="Times New Roman"/>
                  <w:sz w:val="24"/>
                  <w:szCs w:val="24"/>
                </w:rPr>
                <w:t>Recommendation ITU-T X.1581 “Transport of real-time inter-network defence messages”</w:t>
              </w:r>
            </w:hyperlink>
            <w:r w:rsidR="00A11163" w:rsidRPr="004567E2">
              <w:rPr>
                <w:rFonts w:ascii="Times New Roman" w:hAnsi="Times New Roman" w:cs="Times New Roman"/>
                <w:sz w:val="24"/>
                <w:szCs w:val="24"/>
              </w:rPr>
              <w:t xml:space="preserve"> specifies a transport protocol for real-time inter-network defence (RID) based upon the passing of RID messages over hypertext transfer protocol/transport layer security (HTTP/TLS). This is achieved by listing the relevant clauses of IETF RFC 6546 and showing whether they are normative or informative.</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sz w:val="24"/>
                <w:szCs w:val="24"/>
              </w:rPr>
            </w:pPr>
            <w:hyperlink r:id="rId648" w:history="1">
              <w:r w:rsidR="00A11163" w:rsidRPr="004567E2">
                <w:rPr>
                  <w:rStyle w:val="Hyperlink"/>
                  <w:rFonts w:ascii="Times New Roman" w:hAnsi="Times New Roman" w:cs="Times New Roman"/>
                  <w:sz w:val="24"/>
                  <w:szCs w:val="24"/>
                </w:rPr>
                <w:t>Recommendation ITU-T X.1582 “Transport protocols supporting cybersecurity information exchange”</w:t>
              </w:r>
            </w:hyperlink>
            <w:r w:rsidR="00A11163" w:rsidRPr="004567E2">
              <w:rPr>
                <w:rFonts w:ascii="Times New Roman" w:hAnsi="Times New Roman" w:cs="Times New Roman"/>
                <w:sz w:val="24"/>
                <w:szCs w:val="24"/>
              </w:rPr>
              <w:t xml:space="preserve"> provides an overview of transport protocols that have been adopted and adapted for use within the Cybersecurity Information Exchange (CYBEX). The Recommendation outlines applications of transport, transport protocol characteristics, as well as security considerations.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eastAsia="Times New Roman" w:hAnsi="Times New Roman" w:cs="Times New Roman"/>
                <w:sz w:val="24"/>
                <w:szCs w:val="24"/>
              </w:rPr>
            </w:pPr>
            <w:hyperlink r:id="rId649" w:history="1">
              <w:r w:rsidR="00A11163" w:rsidRPr="004567E2">
                <w:rPr>
                  <w:rStyle w:val="Hyperlink"/>
                  <w:rFonts w:ascii="Times New Roman" w:eastAsia="Times New Roman" w:hAnsi="Times New Roman" w:cs="Times New Roman"/>
                  <w:sz w:val="24"/>
                  <w:szCs w:val="24"/>
                </w:rPr>
                <w:t>Recommendation ITU-T X.1601 “</w:t>
              </w:r>
              <w:r w:rsidR="00A11163" w:rsidRPr="004567E2">
                <w:rPr>
                  <w:rStyle w:val="Hyperlink"/>
                  <w:rFonts w:ascii="Times New Roman" w:hAnsi="Times New Roman" w:cs="Times New Roman"/>
                  <w:sz w:val="24"/>
                  <w:szCs w:val="24"/>
                </w:rPr>
                <w:t>Security framework for cloud computing</w:t>
              </w:r>
              <w:r w:rsidR="00A11163" w:rsidRPr="004567E2">
                <w:rPr>
                  <w:rStyle w:val="Hyperlink"/>
                  <w:rFonts w:ascii="Times New Roman" w:eastAsia="Times New Roman" w:hAnsi="Times New Roman" w:cs="Times New Roman"/>
                  <w:sz w:val="24"/>
                  <w:szCs w:val="24"/>
                </w:rPr>
                <w:t>”</w:t>
              </w:r>
            </w:hyperlink>
            <w:r w:rsidR="00A11163" w:rsidRPr="004567E2">
              <w:rPr>
                <w:rFonts w:ascii="Times New Roman" w:eastAsia="Times New Roman" w:hAnsi="Times New Roman" w:cs="Times New Roman"/>
                <w:sz w:val="24"/>
                <w:szCs w:val="24"/>
              </w:rPr>
              <w:t xml:space="preserve"> </w:t>
            </w:r>
            <w:r w:rsidR="00A11163" w:rsidRPr="004567E2">
              <w:rPr>
                <w:rFonts w:ascii="Times New Roman" w:hAnsi="Times New Roman" w:cs="Times New Roman"/>
                <w:sz w:val="24"/>
                <w:szCs w:val="24"/>
              </w:rPr>
              <w:t>describes the security framework for cloud computing. The Recommendation analyses security threats and challenges in the cloud computing environment, and describes security capabilities that could mitigate these threats and address security challenges. A framework methodology is provided for determining which of these security capabilities will require specification for mitigating security threats and addressing security challenges for cloud computing. Appendix I provides a mapping table on how a particular security threat or challenge is addressed by one or more corresponding security capabilities.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eastAsia="Times New Roman" w:hAnsi="Times New Roman" w:cs="Times New Roman"/>
                <w:sz w:val="24"/>
                <w:szCs w:val="24"/>
              </w:rPr>
            </w:pPr>
            <w:hyperlink r:id="rId650" w:history="1">
              <w:r w:rsidR="00A11163" w:rsidRPr="004567E2">
                <w:rPr>
                  <w:rStyle w:val="Hyperlink"/>
                  <w:rFonts w:ascii="Times New Roman" w:eastAsia="Times New Roman" w:hAnsi="Times New Roman" w:cs="Times New Roman"/>
                  <w:sz w:val="24"/>
                  <w:szCs w:val="24"/>
                </w:rPr>
                <w:t>Recommendation ITU-T X.1603 “Data security requirements for the monitoring service of cloud computing”</w:t>
              </w:r>
            </w:hyperlink>
            <w:r w:rsidR="00A11163" w:rsidRPr="004567E2">
              <w:rPr>
                <w:rFonts w:ascii="Times New Roman" w:eastAsia="Times New Roman" w:hAnsi="Times New Roman" w:cs="Times New Roman"/>
                <w:sz w:val="24"/>
                <w:szCs w:val="24"/>
              </w:rPr>
              <w:t xml:space="preserve"> analyses data security requirements for the monitoring service of cloud computing which include monitoring data scope requirements, monitoring data lifecycle, security requirements of monitoring data acquisition and security requirements of monitoring data storage. Monitoring data scope requirements include the necessary monitoring scope that cloud service providers (CSPs) should provide to maintain the cloud security and the biggest monitoring scope of CSPs. Monitoring data lifecycle includes data creation, data store, data </w:t>
            </w:r>
            <w:r w:rsidR="00A11163" w:rsidRPr="004567E2">
              <w:rPr>
                <w:rFonts w:ascii="Times New Roman" w:eastAsia="Times New Roman" w:hAnsi="Times New Roman" w:cs="Times New Roman"/>
                <w:sz w:val="24"/>
                <w:szCs w:val="24"/>
              </w:rPr>
              <w:lastRenderedPageBreak/>
              <w:t>use, data migrate, data present, data destroy and data backup. Monitoring acquisition determines the security requirements of the acquisition techniques of monitoring service. Monitoring data storage determines the security requirements for CSPs to store the monitoring data.</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eastAsia="Times New Roman" w:hAnsi="Times New Roman" w:cs="Times New Roman"/>
                <w:sz w:val="24"/>
                <w:szCs w:val="24"/>
              </w:rPr>
            </w:pPr>
            <w:hyperlink r:id="rId651" w:history="1">
              <w:r w:rsidR="00A11163" w:rsidRPr="004567E2">
                <w:rPr>
                  <w:rStyle w:val="Hyperlink"/>
                  <w:rFonts w:ascii="Times New Roman" w:eastAsia="Times New Roman" w:hAnsi="Times New Roman" w:cs="Times New Roman"/>
                  <w:sz w:val="24"/>
                  <w:szCs w:val="24"/>
                </w:rPr>
                <w:t xml:space="preserve">Recommendation ITU-T X.1631 </w:t>
              </w:r>
              <w:r w:rsidR="00A11163" w:rsidRPr="004567E2">
                <w:rPr>
                  <w:rStyle w:val="Hyperlink"/>
                  <w:rFonts w:ascii="Times New Roman" w:hAnsi="Times New Roman" w:cs="Times New Roman"/>
                  <w:sz w:val="24"/>
                  <w:szCs w:val="24"/>
                </w:rPr>
                <w:t xml:space="preserve">| ISO/IEC 27017 </w:t>
              </w:r>
              <w:r w:rsidR="00A11163" w:rsidRPr="004567E2">
                <w:rPr>
                  <w:rStyle w:val="Hyperlink"/>
                  <w:rFonts w:ascii="Times New Roman" w:eastAsia="Times New Roman" w:hAnsi="Times New Roman" w:cs="Times New Roman"/>
                  <w:sz w:val="24"/>
                  <w:szCs w:val="24"/>
                </w:rPr>
                <w:t>“</w:t>
              </w:r>
              <w:r w:rsidR="00A11163" w:rsidRPr="004567E2">
                <w:rPr>
                  <w:rStyle w:val="Hyperlink"/>
                  <w:rFonts w:ascii="Times New Roman" w:hAnsi="Times New Roman" w:cs="Times New Roman"/>
                  <w:sz w:val="24"/>
                  <w:szCs w:val="24"/>
                </w:rPr>
                <w:t>Information technology - Security techniques - Code of practice for information security controls based on ISO/IEC 27002 for cloud services</w:t>
              </w:r>
              <w:r w:rsidR="00A11163" w:rsidRPr="004567E2">
                <w:rPr>
                  <w:rStyle w:val="Hyperlink"/>
                  <w:rFonts w:ascii="Times New Roman" w:eastAsia="Times New Roman" w:hAnsi="Times New Roman" w:cs="Times New Roman"/>
                  <w:sz w:val="24"/>
                  <w:szCs w:val="24"/>
                </w:rPr>
                <w:t>”</w:t>
              </w:r>
            </w:hyperlink>
            <w:r w:rsidR="00A11163" w:rsidRPr="004567E2">
              <w:rPr>
                <w:rFonts w:ascii="Times New Roman" w:eastAsia="Times New Roman" w:hAnsi="Times New Roman" w:cs="Times New Roman"/>
                <w:sz w:val="24"/>
                <w:szCs w:val="24"/>
              </w:rPr>
              <w:t xml:space="preserve"> </w:t>
            </w:r>
            <w:r w:rsidR="00A11163" w:rsidRPr="004567E2">
              <w:rPr>
                <w:rFonts w:ascii="Times New Roman" w:hAnsi="Times New Roman" w:cs="Times New Roman"/>
                <w:sz w:val="24"/>
                <w:szCs w:val="24"/>
              </w:rPr>
              <w:t>provides guidelines for information security controls applicable to the provision and use of cloud services by providing:</w:t>
            </w:r>
            <w:r w:rsidR="00A11163" w:rsidRPr="004567E2">
              <w:rPr>
                <w:rFonts w:ascii="Times New Roman" w:hAnsi="Times New Roman" w:cs="Times New Roman"/>
                <w:sz w:val="24"/>
                <w:szCs w:val="24"/>
              </w:rPr>
              <w:br/>
              <w:t>– additional implementation guidance for relevant controls specified in ISO/IEC 27002;</w:t>
            </w:r>
            <w:r w:rsidR="00A11163" w:rsidRPr="004567E2">
              <w:rPr>
                <w:rFonts w:ascii="Times New Roman" w:hAnsi="Times New Roman" w:cs="Times New Roman"/>
                <w:sz w:val="24"/>
                <w:szCs w:val="24"/>
              </w:rPr>
              <w:br/>
              <w:t>– additional controls with implementation guidance that specifically relate to cloud services.</w:t>
            </w:r>
            <w:r w:rsidR="00A11163" w:rsidRPr="004567E2">
              <w:rPr>
                <w:rFonts w:ascii="Times New Roman" w:hAnsi="Times New Roman" w:cs="Times New Roman"/>
                <w:sz w:val="24"/>
                <w:szCs w:val="24"/>
              </w:rPr>
              <w:br/>
              <w:t>This Recommendation | International Standard provides controls and implementation guidance for both cloud service providers and cloud service customers.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eastAsia="Times New Roman" w:hAnsi="Times New Roman" w:cs="Times New Roman"/>
                <w:sz w:val="24"/>
                <w:szCs w:val="24"/>
              </w:rPr>
            </w:pPr>
            <w:hyperlink r:id="rId652" w:history="1">
              <w:r w:rsidR="00A11163" w:rsidRPr="004567E2">
                <w:rPr>
                  <w:rStyle w:val="Hyperlink"/>
                  <w:rFonts w:ascii="Times New Roman" w:eastAsia="Times New Roman" w:hAnsi="Times New Roman" w:cs="Times New Roman"/>
                  <w:sz w:val="24"/>
                  <w:szCs w:val="24"/>
                </w:rPr>
                <w:t>Recommendation ITU-T X.1642 “</w:t>
              </w:r>
              <w:r w:rsidR="00A11163" w:rsidRPr="004567E2">
                <w:rPr>
                  <w:rStyle w:val="Hyperlink"/>
                  <w:rFonts w:ascii="Times New Roman" w:hAnsi="Times New Roman" w:cs="Times New Roman"/>
                  <w:sz w:val="24"/>
                  <w:szCs w:val="24"/>
                </w:rPr>
                <w:t>Guidelines of operational security for cloud computing</w:t>
              </w:r>
              <w:r w:rsidR="00A11163" w:rsidRPr="004567E2">
                <w:rPr>
                  <w:rStyle w:val="Hyperlink"/>
                  <w:rFonts w:ascii="Times New Roman" w:eastAsia="Times New Roman" w:hAnsi="Times New Roman" w:cs="Times New Roman"/>
                  <w:sz w:val="24"/>
                  <w:szCs w:val="24"/>
                </w:rPr>
                <w:t>”</w:t>
              </w:r>
            </w:hyperlink>
            <w:r w:rsidR="00A11163" w:rsidRPr="004567E2">
              <w:rPr>
                <w:rFonts w:ascii="Times New Roman" w:eastAsia="Times New Roman" w:hAnsi="Times New Roman" w:cs="Times New Roman"/>
                <w:sz w:val="24"/>
                <w:szCs w:val="24"/>
              </w:rPr>
              <w:t xml:space="preserve"> </w:t>
            </w:r>
            <w:r w:rsidR="00A11163" w:rsidRPr="004567E2">
              <w:rPr>
                <w:rFonts w:ascii="Times New Roman" w:hAnsi="Times New Roman" w:cs="Times New Roman"/>
                <w:sz w:val="24"/>
                <w:szCs w:val="24"/>
              </w:rPr>
              <w:t>provides generic operational security guidelines for cloud computing from the perspective of cloud service providers (CSPs). It analyses the security requirements and metrics for the operation of cloud computing. A set of security measures and detailed security activities for the daily operation and maintenance are provided to help CSPs mitigate security risks and address security challenges for the operation of cloud computing.</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sz w:val="24"/>
                <w:szCs w:val="24"/>
              </w:rPr>
            </w:pPr>
            <w:hyperlink r:id="rId653" w:history="1">
              <w:r w:rsidR="00A11163" w:rsidRPr="004567E2">
                <w:rPr>
                  <w:rStyle w:val="Hyperlink"/>
                  <w:rFonts w:ascii="Times New Roman" w:hAnsi="Times New Roman" w:cs="Times New Roman"/>
                  <w:sz w:val="24"/>
                  <w:szCs w:val="24"/>
                </w:rPr>
                <w:t>X.Sup27 “ITU-T X.1054 - Best practice for implementation of Rec. ITU-T X.1054 | ISO /IEC 27014 on governance of information security - Case of Burkina Faso”</w:t>
              </w:r>
            </w:hyperlink>
            <w:r w:rsidR="00A11163" w:rsidRPr="004567E2">
              <w:rPr>
                <w:rFonts w:ascii="Times New Roman" w:hAnsi="Times New Roman" w:cs="Times New Roman"/>
                <w:sz w:val="24"/>
                <w:szCs w:val="24"/>
              </w:rPr>
              <w:t xml:space="preserve"> Recommendation ITU-T X.1054 | ISO /IEC 27014 is implemented to the governance of information security of e-Council of Ministers in Burkina Faso.</w:t>
            </w:r>
            <w:r w:rsidR="00A11163" w:rsidRPr="004567E2">
              <w:rPr>
                <w:rFonts w:ascii="Times New Roman" w:hAnsi="Times New Roman" w:cs="Times New Roman"/>
                <w:sz w:val="24"/>
                <w:szCs w:val="24"/>
              </w:rPr>
              <w:br/>
              <w:t>This approach aims to be a case of best practice in the implementation of Recommendation ITU</w:t>
            </w:r>
            <w:r w:rsidR="00A11163" w:rsidRPr="004567E2">
              <w:rPr>
                <w:rFonts w:ascii="Times New Roman" w:hAnsi="Times New Roman" w:cs="Times New Roman"/>
                <w:sz w:val="24"/>
                <w:szCs w:val="24"/>
              </w:rPr>
              <w:noBreakHyphen/>
              <w:t xml:space="preserve">T X.1054 | ISO /IEC 27014. Here it is used as part of a unifying project gathering all members of the Government of Burkina Faso </w:t>
            </w:r>
            <w:r w:rsidR="00A11163" w:rsidRPr="004567E2">
              <w:rPr>
                <w:rFonts w:ascii="Times New Roman" w:hAnsi="Times New Roman" w:cs="Times New Roman"/>
                <w:sz w:val="24"/>
                <w:szCs w:val="24"/>
              </w:rPr>
              <w:lastRenderedPageBreak/>
              <w:t>(Presidency, Prime Ministry, General Secretariat of the government and the Council of Ministers, all ministries). However, this Supplement could be applied to any type of organization.</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sz w:val="24"/>
                <w:szCs w:val="24"/>
              </w:rPr>
            </w:pPr>
            <w:hyperlink r:id="rId654" w:history="1">
              <w:r w:rsidR="00A11163" w:rsidRPr="004567E2">
                <w:rPr>
                  <w:rStyle w:val="Hyperlink"/>
                  <w:rFonts w:ascii="Times New Roman" w:hAnsi="Times New Roman" w:cs="Times New Roman"/>
                  <w:sz w:val="24"/>
                  <w:szCs w:val="24"/>
                </w:rPr>
                <w:t>ITU-T X.Suppl.29 “Guidelines on countermeasures against short message service (SMS) phishing and smishing attack”</w:t>
              </w:r>
            </w:hyperlink>
            <w:r w:rsidR="00A11163" w:rsidRPr="004567E2">
              <w:rPr>
                <w:rFonts w:ascii="Times New Roman" w:hAnsi="Times New Roman" w:cs="Times New Roman"/>
                <w:sz w:val="24"/>
                <w:szCs w:val="24"/>
              </w:rPr>
              <w:t xml:space="preserve"> provides universal guidelines on short message service (SMS) phishing which is a fraudulent technique through mobile phones by causing phishing frauds with smartphones, acquiring personal information on the smartphones, or by enabling small amounts of money to be approved and paid while the account holder is not aware of the approval. The purpose of this Supplement is to universalize the guideline for countermeasures against SMS phishing incident by defining a security guideline about security technology against SMS phishing incident and method, and specification of report contents.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hAnsi="Times New Roman" w:cs="Times New Roman"/>
                <w:sz w:val="24"/>
                <w:szCs w:val="24"/>
              </w:rPr>
            </w:pPr>
            <w:hyperlink r:id="rId655" w:history="1">
              <w:r w:rsidR="00A11163" w:rsidRPr="004567E2">
                <w:rPr>
                  <w:rStyle w:val="Hyperlink"/>
                  <w:rFonts w:ascii="Times New Roman" w:hAnsi="Times New Roman" w:cs="Times New Roman"/>
                  <w:sz w:val="24"/>
                  <w:szCs w:val="24"/>
                </w:rPr>
                <w:t>ITU-T X.Suppl.30 “Security guidelines for mobile virtual network operators”</w:t>
              </w:r>
            </w:hyperlink>
            <w:r w:rsidR="00A11163" w:rsidRPr="004567E2">
              <w:rPr>
                <w:rFonts w:ascii="Times New Roman" w:hAnsi="Times New Roman" w:cs="Times New Roman"/>
                <w:sz w:val="24"/>
                <w:szCs w:val="24"/>
              </w:rPr>
              <w:t xml:space="preserve"> provides security guidelines for mobile virtual network operators (MVNOs). Security is very important to MVNOs and most MVNOs have a lot of security similarities. This Supplement analyses the main features of MVNOs and the typical security threats that they face. Based on the structure of MVNOs, this Supplement provides a security framework for MVNOs, including security objectives and security requirements.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eastAsia="Times New Roman" w:hAnsi="Times New Roman" w:cs="Times New Roman"/>
                <w:sz w:val="24"/>
                <w:szCs w:val="24"/>
              </w:rPr>
            </w:pPr>
            <w:hyperlink r:id="rId656" w:history="1">
              <w:r w:rsidR="00A11163" w:rsidRPr="004567E2">
                <w:rPr>
                  <w:rStyle w:val="Hyperlink"/>
                  <w:rFonts w:ascii="Times New Roman" w:eastAsia="Times New Roman" w:hAnsi="Times New Roman" w:cs="Times New Roman"/>
                  <w:sz w:val="24"/>
                  <w:szCs w:val="24"/>
                </w:rPr>
                <w:t>ITU-T X.Suppl.32 “Code of practice for personally identifiable information protection based on ITU-T X.1058 for telecommunications organizations”</w:t>
              </w:r>
            </w:hyperlink>
            <w:r w:rsidR="00A11163" w:rsidRPr="004567E2">
              <w:rPr>
                <w:rFonts w:ascii="Times New Roman" w:eastAsia="Times New Roman" w:hAnsi="Times New Roman" w:cs="Times New Roman"/>
                <w:sz w:val="24"/>
                <w:szCs w:val="24"/>
              </w:rPr>
              <w:t xml:space="preserve"> aims to complement the information provided in ITU-T X.1058 by providing additional implementation guidance for Personally Identifiable Information (PII) protection, which are not described in ITU-T X.1058, but should further be applicable to telecommunications organizations to address PII protection.</w:t>
            </w:r>
          </w:p>
          <w:p w:rsidR="00A11163" w:rsidRPr="004567E2" w:rsidRDefault="00A11163" w:rsidP="00A11163">
            <w:pPr>
              <w:pStyle w:val="ListParagraph"/>
              <w:ind w:left="0"/>
              <w:contextualSpacing w:val="0"/>
              <w:rPr>
                <w:rFonts w:ascii="Times New Roman" w:eastAsia="Times New Roman" w:hAnsi="Times New Roman" w:cs="Times New Roman"/>
                <w:sz w:val="24"/>
                <w:szCs w:val="24"/>
              </w:rPr>
            </w:pPr>
            <w:r w:rsidRPr="004567E2">
              <w:rPr>
                <w:rFonts w:ascii="Times New Roman" w:eastAsia="Times New Roman" w:hAnsi="Times New Roman" w:cs="Times New Roman"/>
                <w:sz w:val="24"/>
                <w:szCs w:val="24"/>
              </w:rPr>
              <w:t>The number of telecommunications organizations processing PII is on the rise. Accordingly, expectations for the protection of PII are also increasing.</w:t>
            </w:r>
          </w:p>
          <w:p w:rsidR="00A11163" w:rsidRPr="004567E2" w:rsidRDefault="00A11163" w:rsidP="00A11163">
            <w:pPr>
              <w:pStyle w:val="ListParagraph"/>
              <w:ind w:left="0"/>
              <w:contextualSpacing w:val="0"/>
              <w:rPr>
                <w:rStyle w:val="Hyperlink"/>
                <w:rFonts w:ascii="Times New Roman" w:eastAsia="Times New Roman" w:hAnsi="Times New Roman" w:cs="Times New Roman"/>
                <w:color w:val="auto"/>
                <w:sz w:val="24"/>
                <w:szCs w:val="24"/>
                <w:u w:val="none"/>
              </w:rPr>
            </w:pPr>
            <w:r w:rsidRPr="004567E2">
              <w:rPr>
                <w:rFonts w:ascii="Times New Roman" w:eastAsia="Times New Roman" w:hAnsi="Times New Roman" w:cs="Times New Roman"/>
                <w:sz w:val="24"/>
                <w:szCs w:val="24"/>
              </w:rPr>
              <w:lastRenderedPageBreak/>
              <w:t>The protection of PII is driving the need for a set of additional controls and implementation guidance for PII protection, which are applicable to telecommunications organizations. The guidance presented in this Supplement are additions to those described in ITU-T X.1058.</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eastAsia="Times New Roman" w:hAnsi="Times New Roman" w:cs="Times New Roman"/>
                <w:sz w:val="24"/>
                <w:szCs w:val="24"/>
              </w:rPr>
            </w:pPr>
            <w:hyperlink r:id="rId657" w:history="1">
              <w:r w:rsidR="00A11163" w:rsidRPr="004567E2">
                <w:rPr>
                  <w:rStyle w:val="Hyperlink"/>
                  <w:rFonts w:ascii="Times New Roman" w:hAnsi="Times New Roman" w:cs="Times New Roman"/>
                  <w:sz w:val="24"/>
                  <w:szCs w:val="24"/>
                </w:rPr>
                <w:t xml:space="preserve">Manual - Security in Telecommunications and Information Technology - </w:t>
              </w:r>
              <w:r w:rsidR="00A11163" w:rsidRPr="004567E2">
                <w:rPr>
                  <w:rStyle w:val="Hyperlink"/>
                  <w:rFonts w:ascii="Times New Roman" w:eastAsia="Times New Roman" w:hAnsi="Times New Roman" w:cs="Times New Roman"/>
                  <w:sz w:val="24"/>
                  <w:szCs w:val="24"/>
                </w:rPr>
                <w:t>An overview of issues and the deployment of existing ITU-T Recommendations for secure telecommunications</w:t>
              </w:r>
            </w:hyperlink>
            <w:r w:rsidR="00A11163" w:rsidRPr="004567E2">
              <w:rPr>
                <w:rFonts w:ascii="Times New Roman" w:eastAsia="Times New Roman" w:hAnsi="Times New Roman" w:cs="Times New Roman"/>
                <w:sz w:val="24"/>
                <w:szCs w:val="24"/>
              </w:rPr>
              <w:t xml:space="preserve"> provides a broad introduction to the Information and Communication Technology (ICT) security work of the ITU-T and, more specifically, it summarizes how the ITU-T is responding to global cybersecurity challenges with Recommendations, guidance documents and outreach initiatives. It is primarily directed towards those who have responsibility for, or an interest in, information and communications security and the related standards, as well as those who simply need to gain a better understanding of ICT security issues.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eastAsia="Times New Roman" w:hAnsi="Times New Roman" w:cs="Times New Roman"/>
                <w:sz w:val="24"/>
                <w:szCs w:val="24"/>
              </w:rPr>
            </w:pPr>
            <w:hyperlink r:id="rId658" w:history="1">
              <w:r w:rsidR="00A11163" w:rsidRPr="004567E2">
                <w:rPr>
                  <w:rStyle w:val="Hyperlink"/>
                  <w:rFonts w:ascii="Times New Roman" w:hAnsi="Times New Roman" w:cs="Times New Roman"/>
                  <w:sz w:val="24"/>
                  <w:szCs w:val="24"/>
                </w:rPr>
                <w:t>Technical Report</w:t>
              </w:r>
              <w:r w:rsidR="00A11163" w:rsidRPr="004567E2">
                <w:rPr>
                  <w:rStyle w:val="Hyperlink"/>
                  <w:rFonts w:ascii="Times New Roman" w:hAnsi="Times New Roman" w:cs="Times New Roman"/>
                  <w:b/>
                  <w:bCs/>
                  <w:sz w:val="24"/>
                  <w:szCs w:val="24"/>
                </w:rPr>
                <w:t xml:space="preserve"> - </w:t>
              </w:r>
              <w:r w:rsidR="00A11163" w:rsidRPr="004567E2">
                <w:rPr>
                  <w:rStyle w:val="Hyperlink"/>
                  <w:rFonts w:ascii="Times New Roman" w:hAnsi="Times New Roman" w:cs="Times New Roman"/>
                  <w:sz w:val="24"/>
                  <w:szCs w:val="24"/>
                </w:rPr>
                <w:t>Current and new challenges for public-key infrastructure standardization</w:t>
              </w:r>
            </w:hyperlink>
            <w:r w:rsidR="00A11163" w:rsidRPr="004567E2">
              <w:rPr>
                <w:rFonts w:ascii="Times New Roman" w:hAnsi="Times New Roman" w:cs="Times New Roman"/>
                <w:sz w:val="24"/>
                <w:szCs w:val="24"/>
              </w:rPr>
              <w:t xml:space="preserve"> </w:t>
            </w:r>
            <w:r w:rsidR="00A11163" w:rsidRPr="004567E2">
              <w:rPr>
                <w:rFonts w:ascii="Times New Roman" w:eastAsia="Times New Roman" w:hAnsi="Times New Roman" w:cs="Times New Roman"/>
                <w:sz w:val="24"/>
                <w:szCs w:val="24"/>
              </w:rPr>
              <w:t>explores the issues and threats currently facing the deployment of public-key infrastructure (PKI), and the new challenges PKI will experience in areas such as wireless PKI (WPKI), cloud computing, smart grid, and machine-to-machine (M2M) in general.</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hAnsi="Times New Roman" w:cs="Times New Roman"/>
                <w:b/>
                <w:bCs/>
                <w:sz w:val="24"/>
                <w:szCs w:val="24"/>
              </w:rPr>
            </w:pPr>
            <w:hyperlink r:id="rId659" w:history="1">
              <w:r w:rsidR="00A11163" w:rsidRPr="004567E2">
                <w:rPr>
                  <w:rStyle w:val="Hyperlink"/>
                  <w:rFonts w:ascii="Times New Roman" w:hAnsi="Times New Roman" w:cs="Times New Roman"/>
                  <w:sz w:val="24"/>
                  <w:szCs w:val="24"/>
                </w:rPr>
                <w:t>Technical Report XSTR-SUSS - Successful use of security standards</w:t>
              </w:r>
            </w:hyperlink>
            <w:r w:rsidR="00A11163" w:rsidRPr="004567E2">
              <w:rPr>
                <w:rFonts w:ascii="Times New Roman" w:hAnsi="Times New Roman" w:cs="Times New Roman"/>
                <w:sz w:val="24"/>
                <w:szCs w:val="24"/>
              </w:rPr>
              <w:t xml:space="preserve"> </w:t>
            </w:r>
            <w:r w:rsidR="00A11163" w:rsidRPr="004567E2">
              <w:rPr>
                <w:rFonts w:ascii="Times New Roman" w:hAnsi="Times New Roman" w:cs="Times New Roman"/>
                <w:color w:val="000000" w:themeColor="text1"/>
                <w:sz w:val="24"/>
                <w:szCs w:val="24"/>
              </w:rPr>
              <w:t>intends to help users, especially those from developing countries, to gain a better understanding of the value of using security-related ITU-T Recommendations in a variety of contexts (e.g. business, commerce, government, industry). A number of success factors are identified which, when followed, yield widely commercially accepted standards. This report covers the use of security standards in a variety of applications and introduces readers to the relevance and importance of foundational security standards such as architectural standards, methodology, definitions, and other high-level guidance. The overall focus is to encourage successful and productive use of these standards.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660" w:history="1">
              <w:r w:rsidR="00A11163" w:rsidRPr="004567E2">
                <w:rPr>
                  <w:rStyle w:val="Hyperlink"/>
                  <w:rFonts w:ascii="Times New Roman" w:hAnsi="Times New Roman" w:cs="Times New Roman"/>
                  <w:sz w:val="24"/>
                  <w:szCs w:val="24"/>
                </w:rPr>
                <w:t>Recommendation ITU-T K.20 “Resistibility of telecommunication equipment installed in a telecommunication centre to overvoltages and overcurrents”</w:t>
              </w:r>
            </w:hyperlink>
            <w:r w:rsidR="00A11163" w:rsidRPr="004567E2">
              <w:rPr>
                <w:rFonts w:ascii="Times New Roman" w:hAnsi="Times New Roman" w:cs="Times New Roman"/>
                <w:sz w:val="24"/>
                <w:szCs w:val="24"/>
              </w:rPr>
              <w:t xml:space="preserve"> specifies resistibility requirements and test procedures for telecommunication equipment that is attached to or installed within a telecommunication centre.</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tabs>
                <w:tab w:val="left" w:pos="794"/>
                <w:tab w:val="left" w:pos="1191"/>
                <w:tab w:val="left" w:pos="1588"/>
                <w:tab w:val="left" w:pos="1985"/>
              </w:tabs>
              <w:rPr>
                <w:rFonts w:ascii="Times New Roman" w:hAnsi="Times New Roman" w:cs="Times New Roman"/>
                <w:sz w:val="24"/>
                <w:szCs w:val="24"/>
              </w:rPr>
            </w:pPr>
            <w:hyperlink r:id="rId661" w:history="1">
              <w:r w:rsidR="00A11163" w:rsidRPr="004567E2">
                <w:rPr>
                  <w:rStyle w:val="Hyperlink"/>
                  <w:rFonts w:ascii="Times New Roman" w:hAnsi="Times New Roman" w:cs="Times New Roman"/>
                  <w:sz w:val="24"/>
                  <w:szCs w:val="24"/>
                </w:rPr>
                <w:t>Recommendation ITU-T K.21 “Resistibility of telecommunication equipment installed in customer premises to overvoltages and overcurrents”</w:t>
              </w:r>
            </w:hyperlink>
            <w:r w:rsidR="00A11163" w:rsidRPr="004567E2">
              <w:rPr>
                <w:rFonts w:ascii="Times New Roman" w:hAnsi="Times New Roman" w:cs="Times New Roman"/>
                <w:sz w:val="24"/>
                <w:szCs w:val="24"/>
              </w:rPr>
              <w:t xml:space="preserve"> specifies resistibility requirements and test procedures for telecommunication equipment that is attached to or installed within a customer's premises.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i/>
                <w:iCs/>
                <w:sz w:val="24"/>
                <w:szCs w:val="24"/>
              </w:rPr>
            </w:pPr>
            <w:hyperlink r:id="rId662" w:history="1">
              <w:r w:rsidR="00A11163" w:rsidRPr="004567E2">
                <w:rPr>
                  <w:rStyle w:val="Hyperlink"/>
                  <w:rFonts w:ascii="Times New Roman" w:hAnsi="Times New Roman" w:cs="Times New Roman"/>
                  <w:sz w:val="24"/>
                  <w:szCs w:val="24"/>
                </w:rPr>
                <w:t>Recommendation ITU-T K.35 “Bonding configurations and earthing at remote electronic sites”</w:t>
              </w:r>
            </w:hyperlink>
            <w:r w:rsidR="00A11163" w:rsidRPr="004567E2">
              <w:rPr>
                <w:rFonts w:ascii="Times New Roman" w:hAnsi="Times New Roman" w:cs="Times New Roman"/>
                <w:i/>
                <w:iCs/>
                <w:sz w:val="24"/>
                <w:szCs w:val="24"/>
              </w:rPr>
              <w:t xml:space="preserve"> </w:t>
            </w:r>
            <w:r w:rsidR="00A11163" w:rsidRPr="004567E2">
              <w:rPr>
                <w:rFonts w:ascii="Times New Roman" w:hAnsi="Times New Roman" w:cs="Times New Roman"/>
                <w:sz w:val="24"/>
                <w:szCs w:val="24"/>
              </w:rPr>
              <w:t>proposes bonding configurations, earthing, and the type of power distribution for equipment located at remote electronic sites, which are intended to promote harmony of installation and equipment configurations while providing for personnel safety and electromagnetic compatibility</w:t>
            </w:r>
            <w:r w:rsidR="00A11163" w:rsidRPr="004567E2">
              <w:rPr>
                <w:rFonts w:ascii="Times New Roman" w:hAnsi="Times New Roman" w:cs="Times New Roman"/>
                <w:i/>
                <w:iCs/>
                <w:sz w:val="24"/>
                <w:szCs w:val="24"/>
              </w:rPr>
              <w:t>.</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663" w:history="1">
              <w:r w:rsidR="00A11163" w:rsidRPr="004567E2">
                <w:rPr>
                  <w:rStyle w:val="Hyperlink"/>
                  <w:rFonts w:ascii="Times New Roman" w:hAnsi="Times New Roman" w:cs="Times New Roman"/>
                  <w:sz w:val="24"/>
                  <w:szCs w:val="24"/>
                </w:rPr>
                <w:t>Recommendation ITU-T K.40 “Protection against LEMP in telecommunications centres”</w:t>
              </w:r>
            </w:hyperlink>
            <w:r w:rsidR="00A11163" w:rsidRPr="004567E2">
              <w:rPr>
                <w:rFonts w:ascii="Times New Roman" w:hAnsi="Times New Roman" w:cs="Times New Roman"/>
                <w:sz w:val="24"/>
                <w:szCs w:val="24"/>
              </w:rPr>
              <w:t xml:space="preserve"> proposes guidelines for the design of an effective protective system for a telecom structure against LEMP. The concept of lightning protection zones is introduced as a framework where the specific protective measures are merged: earthing, bonding, cable routing, shielding, coordinated SPD system and isolating interfaces. Information about simulating the LEMP effects and a shopping-list for the protective measures in existing and new buildings are also given.</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tabs>
                <w:tab w:val="left" w:pos="794"/>
                <w:tab w:val="left" w:pos="1191"/>
                <w:tab w:val="left" w:pos="1588"/>
                <w:tab w:val="left" w:pos="1985"/>
              </w:tabs>
              <w:rPr>
                <w:rFonts w:ascii="Times New Roman" w:hAnsi="Times New Roman" w:cs="Times New Roman"/>
                <w:sz w:val="24"/>
                <w:szCs w:val="24"/>
              </w:rPr>
            </w:pPr>
            <w:hyperlink r:id="rId664" w:history="1">
              <w:r w:rsidR="00A11163" w:rsidRPr="004567E2">
                <w:rPr>
                  <w:rStyle w:val="Hyperlink"/>
                  <w:rFonts w:ascii="Times New Roman" w:hAnsi="Times New Roman" w:cs="Times New Roman"/>
                  <w:sz w:val="24"/>
                  <w:szCs w:val="24"/>
                </w:rPr>
                <w:t>Recommendation ITU-T K.44 “Resistibility tests for telecommunication equipment exposed to overvoltages and overcurrents – Basic Recommendation”</w:t>
              </w:r>
            </w:hyperlink>
            <w:r w:rsidR="00A11163" w:rsidRPr="004567E2">
              <w:rPr>
                <w:rFonts w:ascii="Times New Roman" w:hAnsi="Times New Roman" w:cs="Times New Roman"/>
                <w:sz w:val="24"/>
                <w:szCs w:val="24"/>
              </w:rPr>
              <w:t xml:space="preserve"> seeks to establish fundamental test methods and criteria for the resistibility of telecommunication equipment to overvoltages and overcurrents. Overvoltages or overcurrents covered by this Recommendation include surges due to lightning on or near the line plant, short-term induction of alternating voltages from adjacent electric power lines or electrified railway systems, earth potential rise due to power faults, and direct contacts between telecommunication lines and power lines.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665" w:history="1">
              <w:r w:rsidR="00A11163" w:rsidRPr="004567E2">
                <w:rPr>
                  <w:rStyle w:val="Hyperlink"/>
                  <w:rFonts w:ascii="Times New Roman" w:hAnsi="Times New Roman" w:cs="Times New Roman"/>
                  <w:sz w:val="24"/>
                  <w:szCs w:val="24"/>
                </w:rPr>
                <w:t>Recommendation ITU-T K.45 “Resistibility of telecommunication equipment installed in the access and trunk networks to overvoltages and overcurrents”</w:t>
              </w:r>
            </w:hyperlink>
            <w:r w:rsidR="00A11163" w:rsidRPr="004567E2">
              <w:rPr>
                <w:rFonts w:ascii="Times New Roman" w:hAnsi="Times New Roman" w:cs="Times New Roman"/>
                <w:sz w:val="24"/>
                <w:szCs w:val="24"/>
              </w:rPr>
              <w:t xml:space="preserve"> specifies resistibility requirements and test procedures for telecommunication equipment installed between telecommunication centres and between a telecommunication centre and the customer's premises.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666" w:history="1">
              <w:r w:rsidR="00A11163" w:rsidRPr="004567E2">
                <w:rPr>
                  <w:rStyle w:val="Hyperlink"/>
                  <w:rFonts w:ascii="Times New Roman" w:hAnsi="Times New Roman" w:cs="Times New Roman"/>
                  <w:sz w:val="24"/>
                  <w:szCs w:val="24"/>
                </w:rPr>
                <w:t>Recommendation ITU-T K.50 “Safe limits for operating voltages and currents in telecommunication systems powered over the network”</w:t>
              </w:r>
            </w:hyperlink>
            <w:r w:rsidR="00A11163" w:rsidRPr="004567E2">
              <w:rPr>
                <w:rFonts w:ascii="Times New Roman" w:hAnsi="Times New Roman" w:cs="Times New Roman"/>
                <w:sz w:val="24"/>
                <w:szCs w:val="24"/>
              </w:rPr>
              <w:t xml:space="preserve"> provides guidance on voltages and currents that may safely be used to power telecommunication systems that are part of the network of telecommunications service providers.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b/>
                <w:bCs/>
                <w:sz w:val="24"/>
                <w:szCs w:val="24"/>
              </w:rPr>
            </w:pPr>
            <w:hyperlink r:id="rId667" w:history="1">
              <w:r w:rsidR="00A11163" w:rsidRPr="004567E2">
                <w:rPr>
                  <w:rStyle w:val="Hyperlink"/>
                  <w:rFonts w:ascii="Times New Roman" w:hAnsi="Times New Roman" w:cs="Times New Roman"/>
                  <w:sz w:val="24"/>
                  <w:szCs w:val="24"/>
                </w:rPr>
                <w:t>Recommendation ITU-T K.52 “Guidance on complying with limits for human exposure to electromagnetic fields”</w:t>
              </w:r>
            </w:hyperlink>
            <w:r w:rsidR="00A11163" w:rsidRPr="004567E2">
              <w:rPr>
                <w:rFonts w:ascii="Times New Roman" w:hAnsi="Times New Roman" w:cs="Times New Roman"/>
                <w:sz w:val="24"/>
                <w:szCs w:val="24"/>
              </w:rPr>
              <w:t xml:space="preserve"> aims to help with compliance of telecommunication installations and mobile handsets or other radiating devices used against the head with safety limits for human exposure to electromagnetic fields (EMFs). It presents general guidance, a calculation method and an installation assessment procedure. The assessment procedure for telecommunication installations, based on safety limits provided by the International Commission on Non-Ionizing Radiation Protection (ICNIRP), helps users determine the likelihood of installation compliance based on accessibility criteria, antenna properties and emitter power. The IEC Standard for the compliance measurement of mobile handsets is recommended.</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668" w:history="1">
              <w:r w:rsidR="00A11163" w:rsidRPr="004567E2">
                <w:rPr>
                  <w:rStyle w:val="Hyperlink"/>
                  <w:rFonts w:ascii="Times New Roman" w:hAnsi="Times New Roman" w:cs="Times New Roman"/>
                  <w:sz w:val="24"/>
                  <w:szCs w:val="24"/>
                </w:rPr>
                <w:t>Recommendation ITU T K.61 “Guidance on measurement and numerical prediction of electromagnetic fields for compliance with human exposure limits for telecommunication installations”</w:t>
              </w:r>
            </w:hyperlink>
            <w:r w:rsidR="00A11163" w:rsidRPr="004567E2">
              <w:rPr>
                <w:rFonts w:ascii="Times New Roman" w:hAnsi="Times New Roman" w:cs="Times New Roman"/>
                <w:sz w:val="24"/>
                <w:szCs w:val="24"/>
              </w:rPr>
              <w:t xml:space="preserve"> defines tools, methods and procedures that can be used to achieve a compliance assessment and provides indications on the need to perform an exposure assessment for a telecommunication installation such as a base station. Recommendation ITU-K.100 provides indications on the process for putting a telecommunication installation such as a base station into service.</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669" w:history="1">
              <w:r w:rsidR="00A11163" w:rsidRPr="004567E2">
                <w:rPr>
                  <w:rStyle w:val="Hyperlink"/>
                  <w:rFonts w:ascii="Times New Roman" w:hAnsi="Times New Roman" w:cs="Times New Roman"/>
                  <w:sz w:val="24"/>
                  <w:szCs w:val="24"/>
                </w:rPr>
                <w:t>Recommendation ITU-T K.70 “Mitigation techniques to limit human exposure to EMFs in the vicinity of radiocommunication stations”</w:t>
              </w:r>
            </w:hyperlink>
            <w:r w:rsidR="00A11163" w:rsidRPr="004567E2">
              <w:rPr>
                <w:rFonts w:ascii="Times New Roman" w:hAnsi="Times New Roman" w:cs="Times New Roman"/>
                <w:sz w:val="24"/>
                <w:szCs w:val="24"/>
              </w:rPr>
              <w:t xml:space="preserve"> defines techniques which </w:t>
            </w:r>
            <w:r w:rsidR="00A11163" w:rsidRPr="004567E2">
              <w:rPr>
                <w:rFonts w:ascii="Times New Roman" w:hAnsi="Times New Roman" w:cs="Times New Roman"/>
                <w:sz w:val="24"/>
                <w:szCs w:val="24"/>
              </w:rPr>
              <w:lastRenderedPageBreak/>
              <w:t>may be used by telecommunication operators to evaluate the cumulative (total) exposure ratio in the vicinity of transmitting antennas and to identify the main source of radiation. It offers guidance on mitigation methods which allow reduction of radiation level in order to comply with exposure limits. It also provides guidance on procedures necessary in the environment (on site) in which, in most cases, there is a simultaneous exposure to multiple frequencies from many different sources. Radiating sources may belong to many operators and may represent different radiocommunication services (e.g., cellular systems, trunking systems, broadcasting, radio relays, wireless access, etc.).</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670" w:history="1">
              <w:r w:rsidR="00A11163" w:rsidRPr="004567E2">
                <w:rPr>
                  <w:rStyle w:val="Hyperlink"/>
                  <w:rFonts w:ascii="Times New Roman" w:hAnsi="Times New Roman" w:cs="Times New Roman"/>
                  <w:sz w:val="24"/>
                  <w:szCs w:val="24"/>
                </w:rPr>
                <w:t>Recommendation ITU-T K.90 “Evaluation techniques and working procedures for compliance with exposure limits of network operator personnel to power-frequency electromagnetic fields”</w:t>
              </w:r>
            </w:hyperlink>
            <w:r w:rsidR="00A11163" w:rsidRPr="004567E2">
              <w:rPr>
                <w:rFonts w:ascii="Times New Roman" w:hAnsi="Times New Roman" w:cs="Times New Roman"/>
                <w:sz w:val="24"/>
                <w:szCs w:val="24"/>
              </w:rPr>
              <w:t xml:space="preserve"> provides evaluation techniques and guidelines for compliance with safety limits for human exposure to electromagnetic fields (EMFs) of telecommunication network personnel (e.g., outside plant craft) at power frequencies (DC, 50 Hz and 60 Hz). This Recommendation does not set safety limits; it seeks to provide techniques and procedures for determining the need for any precautions at the work site. This Recommendation includes an electronic attachment containing the EMFACDC program.</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671" w:history="1">
              <w:r w:rsidR="00A11163" w:rsidRPr="004567E2">
                <w:rPr>
                  <w:rStyle w:val="Hyperlink"/>
                  <w:rFonts w:ascii="Times New Roman" w:hAnsi="Times New Roman" w:cs="Times New Roman"/>
                  <w:sz w:val="24"/>
                  <w:szCs w:val="24"/>
                </w:rPr>
                <w:t>Recommendation ITU-T K.91 “Guidance for assessment, evaluation and monitoring of the human exposure to radio frequency electromagnetic fields”</w:t>
              </w:r>
            </w:hyperlink>
            <w:r w:rsidR="00A11163" w:rsidRPr="004567E2">
              <w:rPr>
                <w:rFonts w:ascii="Times New Roman" w:hAnsi="Times New Roman" w:cs="Times New Roman"/>
                <w:sz w:val="24"/>
                <w:szCs w:val="24"/>
              </w:rPr>
              <w:t xml:space="preserve"> gives guidance on how to assess and monitor human exposure to radio frequency (RF) electromagnetic fields (EMF) in areas with surrounding radiocommunication installations based on existing exposure and compliance standards in the frequency range of 9 kHz to 300 GHz. This includes procedures of evaluating exposure and how to show compliance with exposure limits with reference to existing standards. Recommendation ITU-T K.91 is oriented to the examination of the area accessible to people in the real environment of currently operated services with many different sources of RF EMF, but also gives references to standards and Recommendations related to EMF compliance of products. This Recommendation includes an </w:t>
            </w:r>
            <w:r w:rsidR="00A11163" w:rsidRPr="004567E2">
              <w:rPr>
                <w:rFonts w:ascii="Times New Roman" w:hAnsi="Times New Roman" w:cs="Times New Roman"/>
                <w:sz w:val="24"/>
                <w:szCs w:val="24"/>
              </w:rPr>
              <w:lastRenderedPageBreak/>
              <w:t>electronic attachment containing an uncertainty calculator and the Watt Guard modules.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672" w:history="1">
              <w:r w:rsidR="00A11163" w:rsidRPr="004567E2">
                <w:rPr>
                  <w:rStyle w:val="Hyperlink"/>
                  <w:rFonts w:ascii="Times New Roman" w:hAnsi="Times New Roman" w:cs="Times New Roman"/>
                  <w:sz w:val="24"/>
                  <w:szCs w:val="24"/>
                </w:rPr>
                <w:t>Recommendation ITU-T K.93 “Immunity of home network devices to electromagnetic disturbance”</w:t>
              </w:r>
            </w:hyperlink>
            <w:r w:rsidR="00A11163" w:rsidRPr="004567E2">
              <w:rPr>
                <w:rFonts w:ascii="Times New Roman" w:hAnsi="Times New Roman" w:cs="Times New Roman"/>
                <w:b/>
                <w:bCs/>
                <w:sz w:val="24"/>
                <w:szCs w:val="24"/>
              </w:rPr>
              <w:t xml:space="preserve"> </w:t>
            </w:r>
            <w:r w:rsidR="00A11163" w:rsidRPr="004567E2">
              <w:rPr>
                <w:rFonts w:ascii="Times New Roman" w:hAnsi="Times New Roman" w:cs="Times New Roman"/>
                <w:sz w:val="24"/>
                <w:szCs w:val="24"/>
              </w:rPr>
              <w:t>aims to ensure normal operation of home networking devices and to provide a new additional immunity test method for broadband services, especially for devices that are sensitive to broadband interferences.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673" w:history="1">
              <w:r w:rsidR="00A11163" w:rsidRPr="004567E2">
                <w:rPr>
                  <w:rStyle w:val="Hyperlink"/>
                  <w:rFonts w:ascii="Times New Roman" w:hAnsi="Times New Roman" w:cs="Times New Roman"/>
                  <w:sz w:val="24"/>
                  <w:szCs w:val="24"/>
                </w:rPr>
                <w:t>Recommendation ITU-T K.99 “Surge protective component application guide - Gas discharge tubes”</w:t>
              </w:r>
            </w:hyperlink>
            <w:r w:rsidR="00A11163" w:rsidRPr="004567E2">
              <w:rPr>
                <w:rFonts w:ascii="Times New Roman" w:hAnsi="Times New Roman" w:cs="Times New Roman"/>
                <w:sz w:val="24"/>
                <w:szCs w:val="24"/>
              </w:rPr>
              <w:t xml:space="preserve"> describes the construction, characteristics, ratings and application examples of gas discharge tubes (GDTs) intended for the protection of exchange and outdoor equipment, subscriber or customer equipment and telecommunication lines from surges.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674" w:history="1">
              <w:r w:rsidR="00A11163" w:rsidRPr="004567E2">
                <w:rPr>
                  <w:rStyle w:val="Hyperlink"/>
                  <w:rFonts w:ascii="Times New Roman" w:hAnsi="Times New Roman" w:cs="Times New Roman"/>
                  <w:sz w:val="24"/>
                  <w:szCs w:val="24"/>
                </w:rPr>
                <w:t>Recommendation ITU-T K.100 “Measurement of human exposure levels when a wireless installation is put into service”</w:t>
              </w:r>
            </w:hyperlink>
            <w:r w:rsidR="00A11163" w:rsidRPr="004567E2">
              <w:rPr>
                <w:rFonts w:ascii="Times New Roman" w:hAnsi="Times New Roman" w:cs="Times New Roman"/>
                <w:sz w:val="24"/>
                <w:szCs w:val="24"/>
              </w:rPr>
              <w:t xml:space="preserve"> provides information on measurement techniques and procedures for assessing compliance with the general public electromagnetic fields (EMFs) exposure limits when a new base station (BS) is put into service, taking into account effects of the environment and other relevant radio frequency sources present in its surrounding.</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675" w:history="1">
              <w:r w:rsidR="00A11163" w:rsidRPr="004567E2">
                <w:rPr>
                  <w:rStyle w:val="Hyperlink"/>
                  <w:rFonts w:ascii="Times New Roman" w:hAnsi="Times New Roman" w:cs="Times New Roman"/>
                  <w:sz w:val="24"/>
                  <w:szCs w:val="24"/>
                </w:rPr>
                <w:t>Recommendation ITU-T K.117 “Primary protector parameters for the surge protection of equipment Ethernet ports”</w:t>
              </w:r>
            </w:hyperlink>
            <w:r w:rsidR="00A11163" w:rsidRPr="004567E2">
              <w:rPr>
                <w:rFonts w:ascii="Times New Roman" w:hAnsi="Times New Roman" w:cs="Times New Roman"/>
                <w:sz w:val="24"/>
                <w:szCs w:val="24"/>
              </w:rPr>
              <w:t xml:space="preserve"> specifies the common-mode, common mode to differential mode conversion and differential mode surge parameter and test circuit requirements of an Ethernet port primary protector.</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676" w:history="1">
              <w:r w:rsidR="00A11163" w:rsidRPr="004567E2">
                <w:rPr>
                  <w:rStyle w:val="Hyperlink"/>
                  <w:rFonts w:ascii="Times New Roman" w:hAnsi="Times New Roman" w:cs="Times New Roman"/>
                  <w:sz w:val="24"/>
                  <w:szCs w:val="24"/>
                </w:rPr>
                <w:t>Recommendation ITU-T K.118 “Requirements for Lightning Protection of Fibre To The distribution point (FTTdp) Equipment”</w:t>
              </w:r>
            </w:hyperlink>
            <w:r w:rsidR="00A11163" w:rsidRPr="004567E2">
              <w:rPr>
                <w:rFonts w:ascii="Times New Roman" w:hAnsi="Times New Roman" w:cs="Times New Roman"/>
                <w:sz w:val="24"/>
                <w:szCs w:val="24"/>
              </w:rPr>
              <w:t xml:space="preserve"> contains the necessary information to enable the protection of a Distribution Point (DP) nod</w:t>
            </w:r>
            <w:r w:rsidR="00A11163" w:rsidRPr="004567E2">
              <w:rPr>
                <w:rFonts w:ascii="Times New Roman" w:hAnsi="Times New Roman" w:cs="Times New Roman"/>
                <w:color w:val="000000" w:themeColor="text1"/>
                <w:sz w:val="24"/>
                <w:szCs w:val="24"/>
              </w:rPr>
              <w:t>e in the access network a</w:t>
            </w:r>
            <w:r w:rsidR="00A11163" w:rsidRPr="004567E2">
              <w:rPr>
                <w:rFonts w:ascii="Times New Roman" w:hAnsi="Times New Roman" w:cs="Times New Roman"/>
                <w:sz w:val="24"/>
                <w:szCs w:val="24"/>
              </w:rPr>
              <w:t>nd the associated equipment in the customers’ premises. It includes information on the resistibility requirements of the equipment, the rating of the lightning protection, when the installation of protection is necessary and on how to install this protection.</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677" w:history="1">
              <w:r w:rsidR="00A11163" w:rsidRPr="004567E2">
                <w:rPr>
                  <w:rStyle w:val="Hyperlink"/>
                  <w:rFonts w:ascii="Times New Roman" w:hAnsi="Times New Roman" w:cs="Times New Roman"/>
                  <w:sz w:val="24"/>
                  <w:szCs w:val="24"/>
                </w:rPr>
                <w:t>Recommendation ITU-T K.119 “Conformance Assessment of Radio Base Stations Regarding Lightning Protection and Earthing</w:t>
              </w:r>
              <w:r w:rsidR="00A11163" w:rsidRPr="004567E2">
                <w:rPr>
                  <w:rStyle w:val="Hyperlink"/>
                  <w:rFonts w:ascii="Times New Roman" w:hAnsi="Times New Roman" w:cs="Times New Roman"/>
                  <w:b/>
                  <w:bCs/>
                  <w:sz w:val="24"/>
                  <w:szCs w:val="24"/>
                </w:rPr>
                <w:t>”</w:t>
              </w:r>
            </w:hyperlink>
            <w:r w:rsidR="00A11163" w:rsidRPr="004567E2">
              <w:rPr>
                <w:rFonts w:ascii="Times New Roman" w:hAnsi="Times New Roman" w:cs="Times New Roman"/>
                <w:sz w:val="24"/>
                <w:szCs w:val="24"/>
              </w:rPr>
              <w:t xml:space="preserve"> provides the technical requirements and measurement methods to assess the validity and reliability of the lightning protection and earthing system of radio base stations (RBSs). It focuses on the quality control in the process of construction, acceptance, inspection and maintenance.</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eastAsia="MS Mincho" w:hAnsi="Times New Roman" w:cs="Times New Roman"/>
                <w:sz w:val="24"/>
                <w:szCs w:val="24"/>
              </w:rPr>
            </w:pPr>
            <w:hyperlink r:id="rId678" w:history="1">
              <w:r w:rsidR="00A11163" w:rsidRPr="004567E2">
                <w:rPr>
                  <w:rStyle w:val="Hyperlink"/>
                  <w:rFonts w:ascii="Times New Roman" w:hAnsi="Times New Roman" w:cs="Times New Roman"/>
                  <w:sz w:val="24"/>
                  <w:szCs w:val="24"/>
                </w:rPr>
                <w:t>Recommendation ITU-T K.120 “Lightning Protection and Earthing of Miniature Base Station”</w:t>
              </w:r>
            </w:hyperlink>
            <w:r w:rsidR="00A11163" w:rsidRPr="004567E2">
              <w:rPr>
                <w:rFonts w:ascii="Times New Roman" w:hAnsi="Times New Roman" w:cs="Times New Roman"/>
                <w:sz w:val="24"/>
                <w:szCs w:val="24"/>
              </w:rPr>
              <w:t xml:space="preserve"> </w:t>
            </w:r>
            <w:r w:rsidR="00A11163" w:rsidRPr="004567E2">
              <w:rPr>
                <w:rFonts w:ascii="Times New Roman" w:eastAsia="MS Mincho" w:hAnsi="Times New Roman" w:cs="Times New Roman"/>
                <w:sz w:val="24"/>
                <w:szCs w:val="24"/>
              </w:rPr>
              <w:t xml:space="preserve">provides guidelines for lightning protection and earthing of </w:t>
            </w:r>
            <w:r w:rsidR="00A11163" w:rsidRPr="004567E2">
              <w:rPr>
                <w:rFonts w:ascii="Times New Roman" w:eastAsia="SimSun" w:hAnsi="Times New Roman" w:cs="Times New Roman"/>
                <w:sz w:val="24"/>
                <w:szCs w:val="24"/>
              </w:rPr>
              <w:t>m</w:t>
            </w:r>
            <w:r w:rsidR="00A11163" w:rsidRPr="004567E2">
              <w:rPr>
                <w:rFonts w:ascii="Times New Roman" w:eastAsia="MS Mincho" w:hAnsi="Times New Roman" w:cs="Times New Roman"/>
                <w:sz w:val="24"/>
                <w:szCs w:val="24"/>
              </w:rPr>
              <w:t xml:space="preserve">iniature </w:t>
            </w:r>
            <w:r w:rsidR="00A11163" w:rsidRPr="004567E2">
              <w:rPr>
                <w:rFonts w:ascii="Times New Roman" w:eastAsia="SimSun" w:hAnsi="Times New Roman" w:cs="Times New Roman"/>
                <w:sz w:val="24"/>
                <w:szCs w:val="24"/>
              </w:rPr>
              <w:t>b</w:t>
            </w:r>
            <w:r w:rsidR="00A11163" w:rsidRPr="004567E2">
              <w:rPr>
                <w:rFonts w:ascii="Times New Roman" w:eastAsia="MS Mincho" w:hAnsi="Times New Roman" w:cs="Times New Roman"/>
                <w:sz w:val="24"/>
                <w:szCs w:val="24"/>
              </w:rPr>
              <w:t xml:space="preserve">ase </w:t>
            </w:r>
            <w:r w:rsidR="00A11163" w:rsidRPr="004567E2">
              <w:rPr>
                <w:rFonts w:ascii="Times New Roman" w:eastAsia="SimSun" w:hAnsi="Times New Roman" w:cs="Times New Roman"/>
                <w:sz w:val="24"/>
                <w:szCs w:val="24"/>
              </w:rPr>
              <w:t>s</w:t>
            </w:r>
            <w:r w:rsidR="00A11163" w:rsidRPr="004567E2">
              <w:rPr>
                <w:rFonts w:ascii="Times New Roman" w:eastAsia="MS Mincho" w:hAnsi="Times New Roman" w:cs="Times New Roman"/>
                <w:sz w:val="24"/>
                <w:szCs w:val="24"/>
              </w:rPr>
              <w:t>tation against lightning surge, especially for those of unexposed environments (to lightning) and unconventional telecommunication sites.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679" w:history="1">
              <w:r w:rsidR="00A11163" w:rsidRPr="004567E2">
                <w:rPr>
                  <w:rStyle w:val="Hyperlink"/>
                  <w:rFonts w:ascii="Times New Roman" w:hAnsi="Times New Roman" w:cs="Times New Roman"/>
                  <w:sz w:val="24"/>
                  <w:szCs w:val="24"/>
                </w:rPr>
                <w:t>Recommendation ITU-T K.121 “Guidance on the Environmental Management for Compliance with Radio Frequency EMF Limits for Radiocommunication Base Stations”</w:t>
              </w:r>
            </w:hyperlink>
            <w:r w:rsidR="00A11163" w:rsidRPr="004567E2">
              <w:rPr>
                <w:rFonts w:ascii="Times New Roman" w:hAnsi="Times New Roman" w:cs="Times New Roman"/>
                <w:sz w:val="24"/>
                <w:szCs w:val="24"/>
              </w:rPr>
              <w:t xml:space="preserve"> gives guidance on how to manage the compliance with RF-EMF limits in areas near to radiocommunication installations and how to establish processes for responding to public concern about exposure to RF-EMF.</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680" w:history="1">
              <w:r w:rsidR="00A11163" w:rsidRPr="004567E2">
                <w:rPr>
                  <w:rStyle w:val="Hyperlink"/>
                  <w:rFonts w:ascii="Times New Roman" w:hAnsi="Times New Roman" w:cs="Times New Roman"/>
                  <w:sz w:val="24"/>
                  <w:szCs w:val="24"/>
                </w:rPr>
                <w:t>Recommendation ITU-T K.122 “Exposure levels in the close proximity of the radiocommunication antennas”</w:t>
              </w:r>
            </w:hyperlink>
            <w:r w:rsidR="00A11163" w:rsidRPr="004567E2">
              <w:rPr>
                <w:rFonts w:ascii="Times New Roman" w:hAnsi="Times New Roman" w:cs="Times New Roman"/>
                <w:sz w:val="24"/>
                <w:szCs w:val="24"/>
              </w:rPr>
              <w:t xml:space="preserve"> gives information concerning the electric field strength levels that can be expected in close proximity to the broadcasting and radiocommunication antennas so that a comparison with the exposure limits is possible.</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681" w:history="1">
              <w:r w:rsidR="00A11163" w:rsidRPr="004567E2">
                <w:rPr>
                  <w:rStyle w:val="Hyperlink"/>
                  <w:rFonts w:ascii="Times New Roman" w:hAnsi="Times New Roman" w:cs="Times New Roman"/>
                  <w:sz w:val="24"/>
                  <w:szCs w:val="24"/>
                </w:rPr>
                <w:t>Recommendation ITU-T K.123 “EMC requirements for electrical equipment in telecommunication facilities”</w:t>
              </w:r>
            </w:hyperlink>
            <w:r w:rsidR="00A11163" w:rsidRPr="004567E2">
              <w:rPr>
                <w:rFonts w:ascii="Times New Roman" w:hAnsi="Times New Roman" w:cs="Times New Roman"/>
                <w:sz w:val="24"/>
                <w:szCs w:val="24"/>
              </w:rPr>
              <w:t xml:space="preserve"> describes the requirements for radiated and conducted emissions from electrical systems installed in telecommunication facilities.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eastAsia="MS Mincho" w:hAnsi="Times New Roman" w:cs="Times New Roman"/>
                <w:sz w:val="24"/>
                <w:szCs w:val="24"/>
              </w:rPr>
            </w:pPr>
            <w:hyperlink r:id="rId682" w:history="1">
              <w:r w:rsidR="00A11163" w:rsidRPr="004567E2">
                <w:rPr>
                  <w:rStyle w:val="Hyperlink"/>
                  <w:rFonts w:ascii="Times New Roman" w:hAnsi="Times New Roman" w:cs="Times New Roman"/>
                  <w:sz w:val="24"/>
                  <w:szCs w:val="24"/>
                </w:rPr>
                <w:t>Recommendation ITU-T K.124 “Overview of particle radiation effects on telecommunications systems”</w:t>
              </w:r>
            </w:hyperlink>
            <w:r w:rsidR="00A11163" w:rsidRPr="004567E2">
              <w:rPr>
                <w:rFonts w:ascii="Times New Roman" w:hAnsi="Times New Roman" w:cs="Times New Roman"/>
                <w:sz w:val="24"/>
                <w:szCs w:val="24"/>
              </w:rPr>
              <w:t xml:space="preserve"> </w:t>
            </w:r>
            <w:r w:rsidR="00A11163" w:rsidRPr="004567E2">
              <w:rPr>
                <w:rFonts w:ascii="Times New Roman" w:eastAsia="MS Mincho" w:hAnsi="Times New Roman" w:cs="Times New Roman"/>
                <w:sz w:val="24"/>
                <w:szCs w:val="24"/>
              </w:rPr>
              <w:t>provides basic guidance on</w:t>
            </w:r>
            <w:r w:rsidR="00A11163" w:rsidRPr="004567E2">
              <w:rPr>
                <w:rFonts w:ascii="Times New Roman" w:hAnsi="Times New Roman" w:cs="Times New Roman"/>
                <w:sz w:val="24"/>
                <w:szCs w:val="24"/>
              </w:rPr>
              <w:t xml:space="preserve"> soft errors that are caused by particle radiation and that affect telecommunication </w:t>
            </w:r>
            <w:r w:rsidR="00A11163" w:rsidRPr="004567E2">
              <w:rPr>
                <w:rFonts w:ascii="Times New Roman" w:eastAsia="MS Mincho" w:hAnsi="Times New Roman" w:cs="Times New Roman"/>
                <w:sz w:val="24"/>
                <w:szCs w:val="24"/>
              </w:rPr>
              <w:t>systems, and</w:t>
            </w:r>
            <w:r w:rsidR="00A11163" w:rsidRPr="004567E2">
              <w:rPr>
                <w:rFonts w:ascii="Times New Roman" w:hAnsi="Times New Roman" w:cs="Times New Roman"/>
                <w:sz w:val="24"/>
                <w:szCs w:val="24"/>
              </w:rPr>
              <w:t xml:space="preserve"> details the </w:t>
            </w:r>
            <w:r w:rsidR="00A11163" w:rsidRPr="004567E2">
              <w:rPr>
                <w:rFonts w:ascii="Times New Roman" w:eastAsia="MS Mincho" w:hAnsi="Times New Roman" w:cs="Times New Roman"/>
                <w:sz w:val="24"/>
                <w:szCs w:val="24"/>
              </w:rPr>
              <w:t>phenomena</w:t>
            </w:r>
            <w:r w:rsidR="00A11163" w:rsidRPr="004567E2">
              <w:rPr>
                <w:rFonts w:ascii="Times New Roman" w:hAnsi="Times New Roman" w:cs="Times New Roman"/>
                <w:sz w:val="24"/>
                <w:szCs w:val="24"/>
              </w:rPr>
              <w:t xml:space="preserve"> </w:t>
            </w:r>
            <w:r w:rsidR="00A11163" w:rsidRPr="004567E2">
              <w:rPr>
                <w:rFonts w:ascii="Times New Roman" w:eastAsia="MS Mincho" w:hAnsi="Times New Roman" w:cs="Times New Roman"/>
                <w:sz w:val="24"/>
                <w:szCs w:val="24"/>
              </w:rPr>
              <w:t>of</w:t>
            </w:r>
            <w:r w:rsidR="00A11163" w:rsidRPr="004567E2">
              <w:rPr>
                <w:rFonts w:ascii="Times New Roman" w:hAnsi="Times New Roman" w:cs="Times New Roman"/>
                <w:sz w:val="24"/>
                <w:szCs w:val="24"/>
              </w:rPr>
              <w:t xml:space="preserve"> soft errors that arise from </w:t>
            </w:r>
            <w:r w:rsidR="00A11163" w:rsidRPr="004567E2">
              <w:rPr>
                <w:rFonts w:ascii="Times New Roman" w:eastAsia="MS Mincho" w:hAnsi="Times New Roman" w:cs="Times New Roman"/>
                <w:sz w:val="24"/>
                <w:szCs w:val="24"/>
              </w:rPr>
              <w:t>particle radiation.</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eastAsia="MS Mincho" w:hAnsi="Times New Roman" w:cs="Times New Roman"/>
                <w:sz w:val="24"/>
                <w:szCs w:val="24"/>
              </w:rPr>
            </w:pPr>
            <w:hyperlink r:id="rId683" w:history="1">
              <w:r w:rsidR="00A11163" w:rsidRPr="004567E2">
                <w:rPr>
                  <w:rStyle w:val="Hyperlink"/>
                  <w:rFonts w:ascii="Times New Roman" w:eastAsia="MS Mincho" w:hAnsi="Times New Roman" w:cs="Times New Roman"/>
                  <w:sz w:val="24"/>
                  <w:szCs w:val="24"/>
                </w:rPr>
                <w:t>Recommendation ITU-T K.125 “Dangerous effects and protective measures against electromagnetic disturbances when internet data centre is co-sited with high-voltage substation”</w:t>
              </w:r>
            </w:hyperlink>
            <w:r w:rsidR="00A11163" w:rsidRPr="004567E2">
              <w:rPr>
                <w:rFonts w:ascii="Times New Roman" w:eastAsia="MS Mincho" w:hAnsi="Times New Roman" w:cs="Times New Roman"/>
                <w:sz w:val="24"/>
                <w:szCs w:val="24"/>
              </w:rPr>
              <w:t xml:space="preserve"> specifies the calculating methods for dangerous effects, tolerable limits of dangerous effects, tolerable limits of electromagnetic effects from high-voltage substation, distance requirement and protection methods, protective measures, as well as requirements of power frequency magnetic field immunity of server when an internet data centre is co-sited with a high-voltage substation.</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eastAsia="MS Mincho" w:hAnsi="Times New Roman" w:cs="Times New Roman"/>
                <w:sz w:val="24"/>
                <w:szCs w:val="24"/>
              </w:rPr>
            </w:pPr>
            <w:hyperlink r:id="rId684" w:history="1">
              <w:r w:rsidR="00A11163" w:rsidRPr="004567E2">
                <w:rPr>
                  <w:rStyle w:val="Hyperlink"/>
                  <w:rFonts w:ascii="Times New Roman" w:eastAsia="MS Mincho" w:hAnsi="Times New Roman" w:cs="Times New Roman"/>
                  <w:sz w:val="24"/>
                  <w:szCs w:val="24"/>
                </w:rPr>
                <w:t>Recommendation ITU-T K.126 “Surge protective component application guide – High frequency signal isolation transformers”</w:t>
              </w:r>
            </w:hyperlink>
            <w:r w:rsidR="00A11163" w:rsidRPr="004567E2">
              <w:rPr>
                <w:rFonts w:ascii="Times New Roman" w:eastAsia="MS Mincho" w:hAnsi="Times New Roman" w:cs="Times New Roman"/>
                <w:sz w:val="24"/>
                <w:szCs w:val="24"/>
              </w:rPr>
              <w:t xml:space="preserve"> (under approval) discusses isolation transformer parameters and how they influence the equipment common-mode and differential-mode surge performance.</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eastAsia="MS Mincho" w:hAnsi="Times New Roman" w:cs="Times New Roman"/>
                <w:sz w:val="24"/>
                <w:szCs w:val="24"/>
              </w:rPr>
            </w:pPr>
            <w:hyperlink r:id="rId685" w:history="1">
              <w:r w:rsidR="00A11163" w:rsidRPr="004567E2">
                <w:rPr>
                  <w:rStyle w:val="Hyperlink"/>
                  <w:rFonts w:ascii="Times New Roman" w:eastAsia="MS Mincho" w:hAnsi="Times New Roman" w:cs="Times New Roman"/>
                  <w:sz w:val="24"/>
                  <w:szCs w:val="24"/>
                </w:rPr>
                <w:t>Recommendation ITU-T K.127 “Immunity requirements for telecommunication equipment in close proximity use of wireless devices”</w:t>
              </w:r>
            </w:hyperlink>
            <w:r w:rsidR="00A11163" w:rsidRPr="004567E2">
              <w:rPr>
                <w:rFonts w:ascii="Times New Roman" w:eastAsia="MS Mincho" w:hAnsi="Times New Roman" w:cs="Times New Roman"/>
                <w:sz w:val="24"/>
                <w:szCs w:val="24"/>
              </w:rPr>
              <w:t xml:space="preserve"> specifies the immunity requirements for equipment used in the telecom facilities where wireless LAN devices are used in close proximity. This Recommendation is established in order to avoid malfunctions of the equipment from RF signals of devices. And this Recommendation contains requirements including test levels, test signal, test procedures and test facilities.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eastAsia="MS Mincho" w:hAnsi="Times New Roman" w:cs="Times New Roman"/>
                <w:sz w:val="24"/>
                <w:szCs w:val="24"/>
              </w:rPr>
            </w:pPr>
            <w:hyperlink r:id="rId686" w:history="1">
              <w:r w:rsidR="00A11163" w:rsidRPr="004567E2">
                <w:rPr>
                  <w:rStyle w:val="Hyperlink"/>
                  <w:rFonts w:ascii="Times New Roman" w:eastAsia="MS Mincho" w:hAnsi="Times New Roman" w:cs="Times New Roman"/>
                  <w:sz w:val="24"/>
                  <w:szCs w:val="24"/>
                </w:rPr>
                <w:t>Recommendation ITU-T K.128 “Surge protective component application guide - metal oxide varistor (MOV) components”</w:t>
              </w:r>
            </w:hyperlink>
            <w:r w:rsidR="00A11163" w:rsidRPr="004567E2">
              <w:rPr>
                <w:rFonts w:ascii="Times New Roman" w:hAnsi="Times New Roman" w:cs="Times New Roman"/>
                <w:sz w:val="24"/>
                <w:szCs w:val="24"/>
              </w:rPr>
              <w:t xml:space="preserve"> </w:t>
            </w:r>
            <w:r w:rsidR="00A11163" w:rsidRPr="004567E2">
              <w:rPr>
                <w:rFonts w:ascii="Times New Roman" w:eastAsia="MS Mincho" w:hAnsi="Times New Roman" w:cs="Times New Roman"/>
                <w:sz w:val="24"/>
                <w:szCs w:val="24"/>
              </w:rPr>
              <w:t>describes metal oxide varistor (MOV) construction, non-linearity modelling, impedance properties, equivalent circuit, element temperature distribution, time factors, degradation and failure modes, operation states and application examples. These surge protective components (SPCs), intended for the protection of exchange and outdoor equipment, subscriber or customer equipment and telecommunication lines from surges.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eastAsia="MS Mincho" w:hAnsi="Times New Roman" w:cs="Times New Roman"/>
                <w:sz w:val="24"/>
                <w:szCs w:val="24"/>
              </w:rPr>
            </w:pPr>
            <w:hyperlink r:id="rId687" w:history="1">
              <w:r w:rsidR="00A11163" w:rsidRPr="004567E2">
                <w:rPr>
                  <w:rStyle w:val="Hyperlink"/>
                  <w:rFonts w:ascii="Times New Roman" w:eastAsia="MS Mincho" w:hAnsi="Times New Roman" w:cs="Times New Roman"/>
                  <w:sz w:val="24"/>
                  <w:szCs w:val="24"/>
                </w:rPr>
                <w:t>Recommendation ITU-T K.129 “Characteristics and ratings of silicon PN junction voltage clamping components used for the protection of telecommunications installations”</w:t>
              </w:r>
            </w:hyperlink>
            <w:r w:rsidR="00A11163" w:rsidRPr="004567E2">
              <w:rPr>
                <w:rFonts w:ascii="Times New Roman" w:eastAsia="MS Mincho" w:hAnsi="Times New Roman" w:cs="Times New Roman"/>
                <w:sz w:val="24"/>
                <w:szCs w:val="24"/>
              </w:rPr>
              <w:t xml:space="preserve"> defines the basic electrical parameters to be met by silicon PN </w:t>
            </w:r>
            <w:r w:rsidR="00A11163" w:rsidRPr="004567E2">
              <w:rPr>
                <w:rFonts w:ascii="Times New Roman" w:eastAsia="MS Mincho" w:hAnsi="Times New Roman" w:cs="Times New Roman"/>
                <w:sz w:val="24"/>
                <w:szCs w:val="24"/>
              </w:rPr>
              <w:lastRenderedPageBreak/>
              <w:t>junction voltage clamping components used for the protection of telecommunications equipment or lines from surges. Examples of equipment include those located either within a telecommunication centre [b-ITU-T K.20], customer premises [b-ITU-T K.21], in access or in trunk networks [b-ITU-T K.45]. It is intended that this Recommendation be used for the harmonization of existing or future specifications issued by PN diode surge protective component manufacturers, telecommunication equipment manufacturers, administrations or network operators.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eastAsia="MS Mincho" w:hAnsi="Times New Roman" w:cs="Times New Roman"/>
                <w:sz w:val="24"/>
                <w:szCs w:val="24"/>
              </w:rPr>
            </w:pPr>
            <w:hyperlink r:id="rId688" w:history="1">
              <w:r w:rsidR="00A11163" w:rsidRPr="004567E2">
                <w:rPr>
                  <w:rStyle w:val="Hyperlink"/>
                  <w:rFonts w:ascii="Times New Roman" w:eastAsia="MS Mincho" w:hAnsi="Times New Roman" w:cs="Times New Roman"/>
                  <w:sz w:val="24"/>
                  <w:szCs w:val="24"/>
                </w:rPr>
                <w:t>Recommendation ITU-T K.130 “Neutron irradiation test methods for telecommunications equipment”</w:t>
              </w:r>
            </w:hyperlink>
            <w:r w:rsidR="00A11163" w:rsidRPr="004567E2">
              <w:rPr>
                <w:rFonts w:ascii="Times New Roman" w:eastAsia="MS Mincho" w:hAnsi="Times New Roman" w:cs="Times New Roman"/>
                <w:sz w:val="24"/>
                <w:szCs w:val="24"/>
              </w:rPr>
              <w:t xml:space="preserve"> describes soft error test methods for the telecommunication equipment that composes carrier telecommunications networks. The objective of soft error tests of the telecommunication equipment using an accelerator-driven neutron source is described first. The overview of the soft error tests and operating principles of an accelerator-driven neutron source are introduced next. The requirements of the accelerator-driven neutron sources and test sites are specified. The test conditions including test setup, operational conditions and error monitoring and test procedures for the telecommunication equipment are specified. Notes for determining specific, detailed test methods, such as the neutron flux to be used for irradiation and conditions for counting as failures in estimation of the reliability are also described.</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eastAsia="MS Mincho" w:hAnsi="Times New Roman" w:cs="Times New Roman"/>
                <w:sz w:val="24"/>
                <w:szCs w:val="24"/>
              </w:rPr>
            </w:pPr>
            <w:hyperlink r:id="rId689" w:history="1">
              <w:r w:rsidR="00A11163" w:rsidRPr="004567E2">
                <w:rPr>
                  <w:rStyle w:val="Hyperlink"/>
                  <w:rFonts w:ascii="Times New Roman" w:eastAsia="MS Mincho" w:hAnsi="Times New Roman" w:cs="Times New Roman"/>
                  <w:sz w:val="24"/>
                  <w:szCs w:val="24"/>
                </w:rPr>
                <w:t>Recommendation ITU-T K.131 “Design methodologies for telecommunication systems applying soft error measures”</w:t>
              </w:r>
            </w:hyperlink>
            <w:r w:rsidR="00A11163" w:rsidRPr="004567E2">
              <w:rPr>
                <w:rFonts w:ascii="Times New Roman" w:eastAsia="MS Mincho" w:hAnsi="Times New Roman" w:cs="Times New Roman"/>
                <w:sz w:val="24"/>
                <w:szCs w:val="24"/>
              </w:rPr>
              <w:t xml:space="preserve"> describes the principles and design methods for soft error measures for the equipment that composes carrier telecommunications networks. It also describes basic configurations of telecommunication equipment, definitions and methods to determine reliability requirements, and procedures for the design of equipment from the perspective of mitigation of failures caused by soft errors. Also included are the methods to determine the areas, e.g., circuit blocks or circuit packs, requiring soft error measures in telecommunication equipment in order to conform to the reliability requirements. The main design </w:t>
            </w:r>
            <w:r w:rsidR="00A11163" w:rsidRPr="004567E2">
              <w:rPr>
                <w:rFonts w:ascii="Times New Roman" w:eastAsia="MS Mincho" w:hAnsi="Times New Roman" w:cs="Times New Roman"/>
                <w:sz w:val="24"/>
                <w:szCs w:val="24"/>
              </w:rPr>
              <w:lastRenderedPageBreak/>
              <w:t>issues to be considered for soft error measures are described as well as the actual design methods for the application of measures against soft errors and their effects. Finally, the reliability evaluation methods using theoretical calculations and tests of actual equipment are described to confirm the effect of the applied measures and conformity to the reliability requirements.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eastAsia="MS Mincho" w:hAnsi="Times New Roman" w:cs="Times New Roman"/>
                <w:sz w:val="24"/>
                <w:szCs w:val="24"/>
              </w:rPr>
            </w:pPr>
            <w:hyperlink r:id="rId690" w:history="1">
              <w:r w:rsidR="00A11163" w:rsidRPr="004567E2">
                <w:rPr>
                  <w:rStyle w:val="Hyperlink"/>
                  <w:rFonts w:ascii="Times New Roman" w:eastAsia="MS Mincho" w:hAnsi="Times New Roman" w:cs="Times New Roman"/>
                  <w:sz w:val="24"/>
                  <w:szCs w:val="24"/>
                </w:rPr>
                <w:t>Recommendation ITU-T K.132 “EMC requirements of electromagnetic disturbances from lighting equipment located in telecommunication facilities”</w:t>
              </w:r>
            </w:hyperlink>
            <w:r w:rsidR="00A11163" w:rsidRPr="004567E2">
              <w:rPr>
                <w:rFonts w:ascii="Times New Roman" w:eastAsia="MS Mincho" w:hAnsi="Times New Roman" w:cs="Times New Roman"/>
                <w:sz w:val="24"/>
                <w:szCs w:val="24"/>
              </w:rPr>
              <w:t xml:space="preserve"> specifies limits and measurement methods of electromagnetic disturbances from lighting equipment, which are intended to be installed in telecommunication facilities. The requirements in this Recommendation are based on the CISPR 15 and CISPR 32 for continuous electromagnetic disturbances. Furthermore, this Recommendation specifies the limit of transient conducted current and measurement methods.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eastAsia="MS Mincho" w:hAnsi="Times New Roman" w:cs="Times New Roman"/>
                <w:sz w:val="24"/>
                <w:szCs w:val="24"/>
              </w:rPr>
            </w:pPr>
            <w:hyperlink r:id="rId691" w:history="1">
              <w:r w:rsidR="00A11163" w:rsidRPr="004567E2">
                <w:rPr>
                  <w:rStyle w:val="Hyperlink"/>
                  <w:rFonts w:ascii="Times New Roman" w:eastAsia="MS Mincho" w:hAnsi="Times New Roman" w:cs="Times New Roman"/>
                  <w:sz w:val="24"/>
                  <w:szCs w:val="24"/>
                </w:rPr>
                <w:t>Recommendation ITU-T K.133 “Electromagnetic (EM) environment of body worn equipment in the 2.4 GHz and 13.56MHz industrial, scientific and medical band“</w:t>
              </w:r>
            </w:hyperlink>
            <w:r w:rsidR="00A11163" w:rsidRPr="004567E2">
              <w:rPr>
                <w:rFonts w:ascii="Times New Roman" w:hAnsi="Times New Roman" w:cs="Times New Roman"/>
                <w:sz w:val="24"/>
                <w:szCs w:val="24"/>
              </w:rPr>
              <w:t xml:space="preserve"> </w:t>
            </w:r>
            <w:r w:rsidR="00A11163" w:rsidRPr="004567E2">
              <w:rPr>
                <w:rFonts w:ascii="Times New Roman" w:eastAsia="MS Mincho" w:hAnsi="Times New Roman" w:cs="Times New Roman"/>
                <w:sz w:val="24"/>
                <w:szCs w:val="24"/>
              </w:rPr>
              <w:t>specifies electromagnetic characterization of the radiated and conducted environment for the body worn electronic devices.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Style w:val="Hyperlink"/>
                <w:rFonts w:ascii="Times New Roman" w:eastAsia="MS Mincho" w:hAnsi="Times New Roman" w:cs="Times New Roman"/>
                <w:sz w:val="24"/>
                <w:szCs w:val="24"/>
              </w:rPr>
            </w:pPr>
            <w:hyperlink r:id="rId692" w:history="1">
              <w:r w:rsidR="00A11163" w:rsidRPr="004567E2">
                <w:rPr>
                  <w:rStyle w:val="Hyperlink"/>
                  <w:rFonts w:ascii="Times New Roman" w:eastAsia="MS Mincho" w:hAnsi="Times New Roman" w:cs="Times New Roman"/>
                  <w:sz w:val="24"/>
                  <w:szCs w:val="24"/>
                </w:rPr>
                <w:t>Recommendation ITU-T K.134 “Protection of small-size telecommunication installations with poor earthing conditions”</w:t>
              </w:r>
            </w:hyperlink>
            <w:r w:rsidR="00A11163" w:rsidRPr="004567E2">
              <w:rPr>
                <w:rStyle w:val="Hyperlink"/>
                <w:rFonts w:ascii="Times New Roman" w:eastAsia="MS Mincho" w:hAnsi="Times New Roman" w:cs="Times New Roman"/>
                <w:sz w:val="24"/>
                <w:szCs w:val="24"/>
              </w:rPr>
              <w:t xml:space="preserve"> </w:t>
            </w:r>
            <w:r w:rsidR="00A11163" w:rsidRPr="004567E2">
              <w:rPr>
                <w:rStyle w:val="Hyperlink"/>
                <w:rFonts w:ascii="Times New Roman" w:eastAsia="MS Mincho" w:hAnsi="Times New Roman" w:cs="Times New Roman"/>
                <w:color w:val="auto"/>
                <w:sz w:val="24"/>
                <w:szCs w:val="24"/>
                <w:u w:val="none"/>
              </w:rPr>
              <w:t>provides engineering solutions for lightning protection and safety for small-size telecommunication installations under poor earthing conditions. These protection measures are compromised alternatives due to the restriction of circumstance or expense. These protection measures are not common requirements for all kinds of circumstances and have defined conditions for application respectively. The selection of appropriate and feasible solution is helpful to acquire the best technology economy ratio.</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Style w:val="Hyperlink"/>
                <w:rFonts w:ascii="Times New Roman" w:eastAsia="MS Mincho" w:hAnsi="Times New Roman" w:cs="Times New Roman"/>
                <w:color w:val="auto"/>
                <w:sz w:val="24"/>
                <w:szCs w:val="24"/>
                <w:u w:val="none"/>
              </w:rPr>
            </w:pPr>
            <w:hyperlink r:id="rId693" w:history="1">
              <w:r w:rsidR="00A11163" w:rsidRPr="004567E2">
                <w:rPr>
                  <w:rStyle w:val="Hyperlink"/>
                  <w:rFonts w:ascii="Times New Roman" w:eastAsia="MS Mincho" w:hAnsi="Times New Roman" w:cs="Times New Roman"/>
                  <w:sz w:val="24"/>
                  <w:szCs w:val="24"/>
                </w:rPr>
                <w:t>Recommendation ITU-T K.135 Technical parameters for residual current operated protective devices with automatic reclosing feature for telecom applications”</w:t>
              </w:r>
            </w:hyperlink>
            <w:r w:rsidR="00A11163" w:rsidRPr="004567E2">
              <w:rPr>
                <w:rStyle w:val="Hyperlink"/>
                <w:rFonts w:ascii="Times New Roman" w:eastAsia="MS Mincho" w:hAnsi="Times New Roman" w:cs="Times New Roman"/>
                <w:sz w:val="24"/>
                <w:szCs w:val="24"/>
              </w:rPr>
              <w:t xml:space="preserve"> </w:t>
            </w:r>
            <w:r w:rsidR="00A11163" w:rsidRPr="004567E2">
              <w:rPr>
                <w:rStyle w:val="Hyperlink"/>
                <w:rFonts w:ascii="Times New Roman" w:eastAsia="MS Mincho" w:hAnsi="Times New Roman" w:cs="Times New Roman"/>
                <w:color w:val="auto"/>
                <w:sz w:val="24"/>
                <w:szCs w:val="24"/>
                <w:u w:val="none"/>
              </w:rPr>
              <w:t>gives an overview of the parameters of residual current operated protective devices with automatic-reclosing feature for telecom applications.</w:t>
            </w:r>
          </w:p>
          <w:p w:rsidR="00A11163" w:rsidRPr="004567E2" w:rsidRDefault="00A11163" w:rsidP="00A11163">
            <w:pPr>
              <w:rPr>
                <w:rStyle w:val="Hyperlink"/>
                <w:rFonts w:ascii="Times New Roman" w:eastAsia="MS Mincho" w:hAnsi="Times New Roman" w:cs="Times New Roman"/>
                <w:sz w:val="24"/>
                <w:szCs w:val="24"/>
              </w:rPr>
            </w:pPr>
            <w:r w:rsidRPr="004567E2">
              <w:rPr>
                <w:rStyle w:val="Hyperlink"/>
                <w:rFonts w:ascii="Times New Roman" w:eastAsia="MS Mincho" w:hAnsi="Times New Roman" w:cs="Times New Roman"/>
                <w:color w:val="auto"/>
                <w:sz w:val="24"/>
                <w:szCs w:val="24"/>
                <w:u w:val="none"/>
              </w:rPr>
              <w:lastRenderedPageBreak/>
              <w:t>Such devices with an automatic-reclosing feature, also known as trip-free devices, are used in telecom applications based in central offices or in bureaux and/or stations (herein referred to as “RCDAs”). They are usually mounted as supplementary protection devices to other forms of protection against direct-contact. The parameters reference built-in residual current operated protective devices with automatic-reclosing (RCDA) functionality.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Style w:val="Hyperlink"/>
                <w:rFonts w:ascii="Times New Roman" w:eastAsia="MS Mincho" w:hAnsi="Times New Roman" w:cs="Times New Roman"/>
                <w:sz w:val="24"/>
                <w:szCs w:val="24"/>
              </w:rPr>
            </w:pPr>
            <w:hyperlink r:id="rId694" w:history="1">
              <w:r w:rsidR="00A11163" w:rsidRPr="004567E2">
                <w:rPr>
                  <w:rStyle w:val="Hyperlink"/>
                  <w:rFonts w:ascii="Times New Roman" w:eastAsia="MS Mincho" w:hAnsi="Times New Roman" w:cs="Times New Roman"/>
                  <w:sz w:val="24"/>
                  <w:szCs w:val="24"/>
                </w:rPr>
                <w:t>Recommendation ITU-T K.136 “Electromagnetic Compatibility requirements for radio telecommunication equipment”</w:t>
              </w:r>
            </w:hyperlink>
            <w:r w:rsidR="00A11163" w:rsidRPr="004567E2">
              <w:rPr>
                <w:rStyle w:val="Hyperlink"/>
                <w:rFonts w:ascii="Times New Roman" w:eastAsia="MS Mincho" w:hAnsi="Times New Roman" w:cs="Times New Roman"/>
                <w:sz w:val="24"/>
                <w:szCs w:val="24"/>
              </w:rPr>
              <w:t xml:space="preserve"> specifies the electromagnetic compatibility requirements and the test method for radio telecommunication equipment and associated ancillary equipment.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Style w:val="Hyperlink"/>
                <w:rFonts w:ascii="Times New Roman" w:eastAsia="MS Mincho" w:hAnsi="Times New Roman" w:cs="Times New Roman"/>
                <w:color w:val="auto"/>
                <w:sz w:val="24"/>
                <w:szCs w:val="24"/>
                <w:u w:val="none"/>
              </w:rPr>
            </w:pPr>
            <w:hyperlink r:id="rId695" w:history="1">
              <w:r w:rsidR="00A11163" w:rsidRPr="004567E2">
                <w:rPr>
                  <w:rStyle w:val="Hyperlink"/>
                  <w:rFonts w:ascii="Times New Roman" w:eastAsia="MS Mincho" w:hAnsi="Times New Roman" w:cs="Times New Roman"/>
                  <w:sz w:val="24"/>
                  <w:szCs w:val="24"/>
                </w:rPr>
                <w:t>Recommendation ITU-T K.137 “Electromagnetic compatibility requirements and measurement methods for wire-line telecommunication network equipment”</w:t>
              </w:r>
            </w:hyperlink>
            <w:r w:rsidR="00A11163" w:rsidRPr="004567E2">
              <w:rPr>
                <w:rStyle w:val="Hyperlink"/>
                <w:rFonts w:ascii="Times New Roman" w:eastAsia="MS Mincho" w:hAnsi="Times New Roman" w:cs="Times New Roman"/>
                <w:sz w:val="24"/>
                <w:szCs w:val="24"/>
              </w:rPr>
              <w:t xml:space="preserve"> </w:t>
            </w:r>
            <w:r w:rsidR="00A11163" w:rsidRPr="004567E2">
              <w:rPr>
                <w:rStyle w:val="Hyperlink"/>
                <w:rFonts w:ascii="Times New Roman" w:eastAsia="MS Mincho" w:hAnsi="Times New Roman" w:cs="Times New Roman"/>
                <w:color w:val="auto"/>
                <w:sz w:val="24"/>
                <w:szCs w:val="24"/>
                <w:u w:val="none"/>
              </w:rPr>
              <w:t>specifies the electromagnetic compatibility common requirements and the test methods for wire-line telecommunication network equipment, used in a public telecommunication networks to provide telecommunications services: voice, data, audio and video to the end-users, using all applicable media and all kinds of wire-line access technologies, such as DSL, POTS, Ethernet, E1, fibre or others.</w:t>
            </w:r>
          </w:p>
          <w:p w:rsidR="00A11163" w:rsidRPr="004567E2" w:rsidRDefault="00A11163" w:rsidP="00A11163">
            <w:pPr>
              <w:rPr>
                <w:rStyle w:val="Hyperlink"/>
                <w:rFonts w:ascii="Times New Roman" w:eastAsia="MS Mincho" w:hAnsi="Times New Roman" w:cs="Times New Roman"/>
                <w:color w:val="auto"/>
                <w:sz w:val="24"/>
                <w:szCs w:val="24"/>
                <w:u w:val="none"/>
              </w:rPr>
            </w:pPr>
            <w:r w:rsidRPr="004567E2">
              <w:rPr>
                <w:rStyle w:val="Hyperlink"/>
                <w:rFonts w:ascii="Times New Roman" w:eastAsia="MS Mincho" w:hAnsi="Times New Roman" w:cs="Times New Roman"/>
                <w:color w:val="auto"/>
                <w:sz w:val="24"/>
                <w:szCs w:val="24"/>
                <w:u w:val="none"/>
              </w:rPr>
              <w:t>Test conditions for all kinds of wire-line telecommunication network equipment are described, e.g. access equipment, router and switching equipment, optical transmission equipment, data centre and cloud computing equipment and power supply equipment (including HVDC).</w:t>
            </w:r>
          </w:p>
          <w:p w:rsidR="00A11163" w:rsidRPr="004567E2" w:rsidRDefault="00A11163" w:rsidP="00A11163">
            <w:pPr>
              <w:rPr>
                <w:rStyle w:val="Hyperlink"/>
                <w:rFonts w:ascii="Times New Roman" w:eastAsia="MS Mincho" w:hAnsi="Times New Roman" w:cs="Times New Roman"/>
                <w:sz w:val="24"/>
                <w:szCs w:val="24"/>
              </w:rPr>
            </w:pPr>
            <w:r w:rsidRPr="004567E2">
              <w:rPr>
                <w:rStyle w:val="Hyperlink"/>
                <w:rFonts w:ascii="Times New Roman" w:eastAsia="MS Mincho" w:hAnsi="Times New Roman" w:cs="Times New Roman"/>
                <w:color w:val="auto"/>
                <w:sz w:val="24"/>
                <w:szCs w:val="24"/>
                <w:u w:val="none"/>
              </w:rPr>
              <w:t>This Recommendation describes the specific testing levels to be applied to wire-line telecommunication in different environments, such as telecommunication centres, customer premises and outside plants.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Style w:val="Hyperlink"/>
                <w:rFonts w:ascii="Times New Roman" w:eastAsia="MS Mincho" w:hAnsi="Times New Roman" w:cs="Times New Roman"/>
                <w:color w:val="auto"/>
                <w:sz w:val="24"/>
                <w:szCs w:val="24"/>
                <w:u w:val="none"/>
              </w:rPr>
            </w:pPr>
            <w:hyperlink r:id="rId696" w:history="1">
              <w:r w:rsidR="00A11163" w:rsidRPr="004567E2">
                <w:rPr>
                  <w:rStyle w:val="Hyperlink"/>
                  <w:rFonts w:ascii="Times New Roman" w:eastAsia="MS Mincho" w:hAnsi="Times New Roman" w:cs="Times New Roman"/>
                  <w:sz w:val="24"/>
                  <w:szCs w:val="24"/>
                </w:rPr>
                <w:t>Recommendation ITU-T K.138 “Quality estimation methods and application guidelines for mitigation measures based on particle radiation tests”</w:t>
              </w:r>
            </w:hyperlink>
            <w:r w:rsidR="00A11163" w:rsidRPr="004567E2">
              <w:rPr>
                <w:rStyle w:val="Hyperlink"/>
                <w:rFonts w:ascii="Times New Roman" w:eastAsia="MS Mincho" w:hAnsi="Times New Roman" w:cs="Times New Roman"/>
                <w:sz w:val="24"/>
                <w:szCs w:val="24"/>
              </w:rPr>
              <w:t xml:space="preserve"> </w:t>
            </w:r>
            <w:r w:rsidR="00A11163" w:rsidRPr="004567E2">
              <w:rPr>
                <w:rStyle w:val="Hyperlink"/>
                <w:rFonts w:ascii="Times New Roman" w:eastAsia="MS Mincho" w:hAnsi="Times New Roman" w:cs="Times New Roman"/>
                <w:color w:val="auto"/>
                <w:sz w:val="24"/>
                <w:szCs w:val="24"/>
                <w:u w:val="none"/>
              </w:rPr>
              <w:t xml:space="preserve">describes the reliability estimation methods based on the results of a neutron irradiation test taking into account the severity of the effect caused by soft errors. The soft error rate in the natural environment has to be calculated from the number of soft errors </w:t>
            </w:r>
            <w:r w:rsidR="00A11163" w:rsidRPr="004567E2">
              <w:rPr>
                <w:rStyle w:val="Hyperlink"/>
                <w:rFonts w:ascii="Times New Roman" w:eastAsia="MS Mincho" w:hAnsi="Times New Roman" w:cs="Times New Roman"/>
                <w:color w:val="auto"/>
                <w:sz w:val="24"/>
                <w:szCs w:val="24"/>
                <w:u w:val="none"/>
              </w:rPr>
              <w:lastRenderedPageBreak/>
              <w:t xml:space="preserve">that occur during a neutron irradiation test. The severity of the impact of a soft error on telecommunications systems, such as the impact on the client signal and control system, is analysed from the error logs created during the test. </w:t>
            </w:r>
          </w:p>
          <w:p w:rsidR="00A11163" w:rsidRPr="004567E2" w:rsidRDefault="00A11163" w:rsidP="00A11163">
            <w:pPr>
              <w:rPr>
                <w:rStyle w:val="Hyperlink"/>
                <w:rFonts w:ascii="Times New Roman" w:eastAsia="MS Mincho" w:hAnsi="Times New Roman" w:cs="Times New Roman"/>
                <w:sz w:val="24"/>
                <w:szCs w:val="24"/>
              </w:rPr>
            </w:pPr>
            <w:r w:rsidRPr="004567E2">
              <w:rPr>
                <w:rStyle w:val="Hyperlink"/>
                <w:rFonts w:ascii="Times New Roman" w:eastAsia="MS Mincho" w:hAnsi="Times New Roman" w:cs="Times New Roman"/>
                <w:color w:val="auto"/>
                <w:sz w:val="24"/>
                <w:szCs w:val="24"/>
                <w:u w:val="none"/>
              </w:rPr>
              <w:t>Additional mitigation measures should be applied if the equipment is less reliable than the target level. This Recommendation also provides guidelines for applying these mitigation measures in light of the results of soft error tests.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Style w:val="Hyperlink"/>
                <w:rFonts w:ascii="Times New Roman" w:eastAsia="MS Mincho" w:hAnsi="Times New Roman" w:cs="Times New Roman"/>
                <w:sz w:val="24"/>
                <w:szCs w:val="24"/>
              </w:rPr>
            </w:pPr>
            <w:hyperlink r:id="rId697" w:history="1">
              <w:r w:rsidR="00A11163" w:rsidRPr="004567E2">
                <w:rPr>
                  <w:rStyle w:val="Hyperlink"/>
                  <w:rFonts w:ascii="Times New Roman" w:eastAsia="MS Mincho" w:hAnsi="Times New Roman" w:cs="Times New Roman"/>
                  <w:sz w:val="24"/>
                  <w:szCs w:val="24"/>
                </w:rPr>
                <w:t>Recommendation ITU-T K.139 “Reliability requirements for telecommunication systems affected by particle radiation”</w:t>
              </w:r>
            </w:hyperlink>
            <w:r w:rsidR="00A11163" w:rsidRPr="004567E2">
              <w:rPr>
                <w:rStyle w:val="Hyperlink"/>
                <w:rFonts w:ascii="Times New Roman" w:eastAsia="MS Mincho" w:hAnsi="Times New Roman" w:cs="Times New Roman"/>
                <w:sz w:val="24"/>
                <w:szCs w:val="24"/>
              </w:rPr>
              <w:t xml:space="preserve"> </w:t>
            </w:r>
            <w:r w:rsidR="00A11163" w:rsidRPr="004567E2">
              <w:rPr>
                <w:rStyle w:val="Hyperlink"/>
                <w:rFonts w:ascii="Times New Roman" w:eastAsia="MS Mincho" w:hAnsi="Times New Roman" w:cs="Times New Roman"/>
                <w:color w:val="auto"/>
                <w:sz w:val="24"/>
                <w:szCs w:val="24"/>
                <w:u w:val="none"/>
              </w:rPr>
              <w:t>describes the reliability requirements for telecommunication equipment in relation to the soft errors that are caused by particle radiation. The principles for determination of reliability requirements are described and three types of reliability requirements (alert function reliability, service reliability, and maintenance reliability) are defined. Three reliability classes for each type of requirement are defined based on the acceptable soft error failure rate. Specific values are determined for each type and class of reliability requirement.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eastAsia="MS Mincho" w:hAnsi="Times New Roman" w:cs="Times New Roman"/>
                <w:sz w:val="24"/>
                <w:szCs w:val="24"/>
              </w:rPr>
            </w:pPr>
            <w:hyperlink r:id="rId698" w:history="1">
              <w:r w:rsidR="00A11163" w:rsidRPr="004567E2">
                <w:rPr>
                  <w:rStyle w:val="Hyperlink"/>
                  <w:rFonts w:ascii="Times New Roman" w:eastAsia="MS Mincho" w:hAnsi="Times New Roman" w:cs="Times New Roman"/>
                  <w:sz w:val="24"/>
                  <w:szCs w:val="24"/>
                </w:rPr>
                <w:t>ITU-T K.Suppl.7 to ITU-T K.44 “Supplement on AC supply configurations”</w:t>
              </w:r>
            </w:hyperlink>
            <w:r w:rsidR="00A11163" w:rsidRPr="004567E2">
              <w:rPr>
                <w:rFonts w:ascii="Times New Roman" w:eastAsia="MS Mincho" w:hAnsi="Times New Roman" w:cs="Times New Roman"/>
                <w:sz w:val="24"/>
                <w:szCs w:val="24"/>
              </w:rPr>
              <w:t xml:space="preserve"> </w:t>
            </w:r>
            <w:r w:rsidR="00A11163" w:rsidRPr="004567E2">
              <w:rPr>
                <w:rFonts w:ascii="Times New Roman" w:eastAsia="Times New Roman" w:hAnsi="Times New Roman" w:cs="Times New Roman"/>
                <w:sz w:val="24"/>
                <w:szCs w:val="24"/>
              </w:rPr>
              <w:t>gives an overview of typical AC mains supply configurations known as; IT, TT, TN-C, TN-C-S and TN-S together with wiring practices</w:t>
            </w:r>
            <w:r w:rsidR="00A11163" w:rsidRPr="004567E2">
              <w:rPr>
                <w:rFonts w:ascii="Times New Roman" w:eastAsia="MS Mincho" w:hAnsi="Times New Roman" w:cs="Times New Roman"/>
                <w:sz w:val="24"/>
                <w:szCs w:val="24"/>
              </w:rPr>
              <w:t>.</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eastAsia="MS Mincho" w:hAnsi="Times New Roman" w:cs="Times New Roman"/>
                <w:iCs/>
                <w:sz w:val="24"/>
                <w:szCs w:val="24"/>
              </w:rPr>
            </w:pPr>
            <w:hyperlink r:id="rId699" w:history="1">
              <w:r w:rsidR="00A11163" w:rsidRPr="004567E2">
                <w:rPr>
                  <w:rStyle w:val="Hyperlink"/>
                  <w:rFonts w:ascii="Times New Roman" w:eastAsia="MS Mincho" w:hAnsi="Times New Roman" w:cs="Times New Roman"/>
                  <w:iCs/>
                  <w:sz w:val="24"/>
                  <w:szCs w:val="24"/>
                </w:rPr>
                <w:t>ITU-T K.Suppl.8 to K.-series of Recommendations “Resistibility analysis of 5G systems”</w:t>
              </w:r>
            </w:hyperlink>
            <w:r w:rsidR="00A11163" w:rsidRPr="004567E2">
              <w:rPr>
                <w:rFonts w:ascii="Times New Roman" w:eastAsia="MS Mincho" w:hAnsi="Times New Roman" w:cs="Times New Roman"/>
                <w:iCs/>
                <w:sz w:val="24"/>
                <w:szCs w:val="24"/>
              </w:rPr>
              <w:t xml:space="preserve"> analyses 5G system resistibility requirements for lightning and power fault events. The electrical threats posed by lightning and power fault events are discussed and the appropriate resistibility tests identified. Installation practice can have a big influence on the reliability of service and the equipment. Earthing, location and craftmanship are discussed.</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eastAsia="MS Mincho" w:hAnsi="Times New Roman" w:cs="Times New Roman"/>
                <w:iCs/>
                <w:sz w:val="24"/>
                <w:szCs w:val="24"/>
              </w:rPr>
            </w:pPr>
            <w:hyperlink r:id="rId700" w:history="1">
              <w:r w:rsidR="00A11163" w:rsidRPr="004567E2">
                <w:rPr>
                  <w:rStyle w:val="Hyperlink"/>
                  <w:rFonts w:ascii="Times New Roman" w:eastAsia="MS Mincho" w:hAnsi="Times New Roman" w:cs="Times New Roman"/>
                  <w:iCs/>
                  <w:sz w:val="24"/>
                  <w:szCs w:val="24"/>
                </w:rPr>
                <w:t>ITU-T K.Suppl.9 to K.-series of Recommendations “5G technology and human exposure to RF EMF”</w:t>
              </w:r>
            </w:hyperlink>
            <w:r w:rsidR="00A11163" w:rsidRPr="004567E2">
              <w:rPr>
                <w:rFonts w:ascii="Times New Roman" w:eastAsia="MS Mincho" w:hAnsi="Times New Roman" w:cs="Times New Roman"/>
                <w:iCs/>
                <w:sz w:val="24"/>
                <w:szCs w:val="24"/>
              </w:rPr>
              <w:t xml:space="preserve">: The deployment of 5G will see the evolution and expansion of existing 4G networks and the introduction of new radio access networks in the millimetre wave bands. Because of the use of much higher frequency ranges the number of base stations will substantially increase. These networks will include a </w:t>
            </w:r>
            <w:r w:rsidR="00A11163" w:rsidRPr="004567E2">
              <w:rPr>
                <w:rFonts w:ascii="Times New Roman" w:eastAsia="MS Mincho" w:hAnsi="Times New Roman" w:cs="Times New Roman"/>
                <w:iCs/>
                <w:sz w:val="24"/>
                <w:szCs w:val="24"/>
              </w:rPr>
              <w:lastRenderedPageBreak/>
              <w:t>range of installations including more small cell deployments and advanced antenna technologies. Massive MIMO antennas will allow to use very narrow beams that will follow the user with impact for the surrounding exposure level different than this from current systems. The number of wireless devices will dramatically increase. New technology allows for use more efficient systems that require lower level of the signals for communication.</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701" w:history="1">
              <w:r w:rsidR="00A11163" w:rsidRPr="004567E2">
                <w:rPr>
                  <w:rStyle w:val="Hyperlink"/>
                  <w:rFonts w:ascii="Times New Roman" w:eastAsia="MS Mincho" w:hAnsi="Times New Roman" w:cs="Times New Roman"/>
                  <w:iCs/>
                  <w:sz w:val="24"/>
                  <w:szCs w:val="24"/>
                </w:rPr>
                <w:t>ITU-T K.Suppl.10 to K.-series of Recommendations “Analysis of EMC aspects and definition of requirements for 5G systems”</w:t>
              </w:r>
            </w:hyperlink>
            <w:r w:rsidR="00A11163" w:rsidRPr="004567E2">
              <w:rPr>
                <w:rFonts w:ascii="Times New Roman" w:eastAsia="MS Mincho" w:hAnsi="Times New Roman" w:cs="Times New Roman"/>
                <w:iCs/>
                <w:sz w:val="24"/>
                <w:szCs w:val="24"/>
              </w:rPr>
              <w:t xml:space="preserve"> provides guidance on the EMC compliance assessment considerations for 5G systems. Given the 5G Radio Access Network (RAN) technical standards are still being finalised, the first version of this Supplement focuses on possible emission and immunity requirements for 5G systems. This Supplement will be revised, if needed, to address the more specific EMC requirements when technical standards of 5G systems will be published.</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bCs/>
                <w:color w:val="000000"/>
                <w:sz w:val="24"/>
                <w:szCs w:val="24"/>
              </w:rPr>
            </w:pPr>
            <w:hyperlink r:id="rId702" w:history="1">
              <w:r w:rsidR="00A11163" w:rsidRPr="004567E2">
                <w:rPr>
                  <w:rStyle w:val="Hyperlink"/>
                  <w:rFonts w:ascii="Times New Roman" w:eastAsia="MS Mincho" w:hAnsi="Times New Roman" w:cs="Times New Roman"/>
                  <w:iCs/>
                  <w:sz w:val="24"/>
                  <w:szCs w:val="24"/>
                </w:rPr>
                <w:t>ITU-T K.Suppl.11 “Soft error measures of FPGA”</w:t>
              </w:r>
            </w:hyperlink>
            <w:r w:rsidR="00A11163" w:rsidRPr="004567E2">
              <w:rPr>
                <w:rFonts w:ascii="Times New Roman" w:eastAsia="MS Mincho" w:hAnsi="Times New Roman" w:cs="Times New Roman"/>
                <w:iCs/>
                <w:sz w:val="24"/>
                <w:szCs w:val="24"/>
              </w:rPr>
              <w:t xml:space="preserve"> describes soft error mitigation for FPGA. FPGA is the mainstream of recent LSI and many of them are used in equipment for communication as main device. First, trend of soft error rate along with miniaturization of manufacturing process rules for semiconductor is described, and mitigation techniques such as material, physical layout, and design tool that FPGA venders provide to users are outlined. Next, design methodology of communication equipment, which considers reliability specification by using those mitigation measures, is discussed. Finally, recent trend for mitigation measures for FPGA is explained.</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sz w:val="24"/>
                <w:szCs w:val="24"/>
              </w:rPr>
            </w:pPr>
            <w:hyperlink r:id="rId703" w:history="1">
              <w:r w:rsidR="00A11163" w:rsidRPr="004567E2">
                <w:rPr>
                  <w:rStyle w:val="Hyperlink"/>
                  <w:rFonts w:ascii="Times New Roman" w:hAnsi="Times New Roman" w:cs="Times New Roman"/>
                  <w:sz w:val="24"/>
                  <w:szCs w:val="24"/>
                </w:rPr>
                <w:t>Recommendation ITU-T F.791 (revised) “Accessibility terms and definitions”</w:t>
              </w:r>
            </w:hyperlink>
            <w:r w:rsidR="00A11163" w:rsidRPr="004567E2">
              <w:rPr>
                <w:rStyle w:val="Hyperlink"/>
                <w:rFonts w:ascii="Times New Roman" w:hAnsi="Times New Roman" w:cs="Times New Roman"/>
                <w:color w:val="auto"/>
                <w:sz w:val="24"/>
                <w:szCs w:val="24"/>
                <w:u w:val="none"/>
              </w:rPr>
              <w:t xml:space="preserve"> defines words describing accessibility, disability, and technical terms to be used for improving the writing in relation to standardization, and to facilitate accurately the needs and the mainstreaming of accessibility in standards that will include persons with disabilities (PWDs), older persons with age related disabilities and persons with specific needs. See WTDC Res. 58, WTDC AD and ITU–T F.790, listed in </w:t>
            </w:r>
            <w:r w:rsidR="00A11163" w:rsidRPr="004567E2">
              <w:rPr>
                <w:rStyle w:val="Hyperlink"/>
                <w:rFonts w:ascii="Times New Roman" w:hAnsi="Times New Roman" w:cs="Times New Roman"/>
                <w:color w:val="auto"/>
                <w:sz w:val="24"/>
                <w:szCs w:val="24"/>
                <w:u w:val="none"/>
              </w:rPr>
              <w:lastRenderedPageBreak/>
              <w:t>the Bibliography. This revision updates some of the definitions based on feedback received from the user community.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C10</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9.1, 10.2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704" w:history="1">
              <w:r w:rsidR="00A11163" w:rsidRPr="004567E2">
                <w:rPr>
                  <w:rStyle w:val="Hyperlink"/>
                  <w:rFonts w:ascii="Times New Roman" w:hAnsi="Times New Roman" w:cs="Times New Roman"/>
                  <w:sz w:val="24"/>
                  <w:szCs w:val="24"/>
                </w:rPr>
                <w:t>Recommendation ITU-T F.921 “Audio-based indoor and outdoor network navigation system for persons with vision impairment”</w:t>
              </w:r>
            </w:hyperlink>
            <w:r w:rsidR="00A11163" w:rsidRPr="004567E2">
              <w:rPr>
                <w:rStyle w:val="Hyperlink"/>
                <w:rFonts w:ascii="Times New Roman" w:hAnsi="Times New Roman" w:cs="Times New Roman"/>
                <w:color w:val="auto"/>
                <w:sz w:val="24"/>
                <w:szCs w:val="24"/>
                <w:u w:val="none"/>
              </w:rPr>
              <w:t xml:space="preserve"> explains how audio-based network navigation systems can be designed to ensure that they are inclusive and meet the needs of persons with visual impairments. Recommendation ITU-T F.921 adopts a technology neutral approach by defining and explaining the functional characteristics of the system. The aim is to give designers of audio-based network navigation systems the information that they need at the initial stages of development to anticipate and overcome any restrictions and barriers that prevent users with visual impairments from making full and independent use of the built environment. Recommendation ITU-T F.921 explains how to accommodate users’ experience of audio-based network navigation systems and ensure the interoperability of those systems. This Recommendation recognizes that by meeting the user needs of persons with visual impairments, audio-based network navigation systems may also benefit persons with other disabilities, age-related conditions and specific needs, as well as the general public. This revision provides updates based on feedback received from field use of this Recommendation, as well as other text clarifications and corrections.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C10</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9.1, 10.2, 11.2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Fonts w:ascii="Times New Roman" w:hAnsi="Times New Roman" w:cs="Times New Roman"/>
                <w:sz w:val="24"/>
                <w:szCs w:val="24"/>
              </w:rPr>
            </w:pPr>
            <w:hyperlink r:id="rId705" w:history="1">
              <w:r w:rsidR="00A11163" w:rsidRPr="004567E2">
                <w:rPr>
                  <w:rStyle w:val="Hyperlink"/>
                  <w:rFonts w:ascii="Times New Roman" w:hAnsi="Times New Roman" w:cs="Times New Roman"/>
                  <w:sz w:val="24"/>
                  <w:szCs w:val="24"/>
                </w:rPr>
                <w:t>Recommendation ITU-T F.930 “Multimedia telecommunication relay services”</w:t>
              </w:r>
            </w:hyperlink>
            <w:r w:rsidR="00A11163" w:rsidRPr="004567E2">
              <w:rPr>
                <w:rFonts w:ascii="Times New Roman" w:hAnsi="Times New Roman" w:cs="Times New Roman"/>
                <w:sz w:val="24"/>
                <w:szCs w:val="24"/>
              </w:rPr>
              <w:t xml:space="preserve"> provides an overview of telecommunications relay services. To this end, this Recommendation provides a functional description of four common types of relay services in use today: text relay, video relay, captioned telephone service relay and speech-to-speech relay. Additionally, it lays out specific functional requirements of relay services pertaining to equipment, call setup, call experience, emergency communications, and message retrieval.</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 xml:space="preserve">The UN Convention on the Rights of Persons with Disabilities (UNCRPD), article 9, made clear the need to include persons with disabilities, older persons with age related disabilities, and persons with specific needs by mainstreaming them into all </w:t>
            </w:r>
            <w:r w:rsidRPr="004567E2">
              <w:rPr>
                <w:rFonts w:ascii="Times New Roman" w:hAnsi="Times New Roman" w:cs="Times New Roman"/>
                <w:sz w:val="24"/>
                <w:szCs w:val="24"/>
              </w:rPr>
              <w:lastRenderedPageBreak/>
              <w:t>aspects of modern life. This can only be done by including them in the design of modern technology and information and communication technologies (ICTs) using universal design as defined in the UNCRPD.</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Inclusion in telecommunications is a critical part of modern life for persons with disabilities, and in the realm of relay services such inclusion is expressed through the concept of functional equivalency. It states that persons with disabilities must be able to use telecommunications services with a level of functionality and ease of use that is similar to the way people use mainstream voice telecommunications services.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C10</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9.1, 10.2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Fonts w:ascii="Times New Roman" w:hAnsi="Times New Roman" w:cs="Times New Roman"/>
                <w:b/>
                <w:bCs/>
                <w:sz w:val="24"/>
                <w:szCs w:val="24"/>
              </w:rPr>
            </w:pPr>
            <w:hyperlink r:id="rId706" w:history="1">
              <w:r w:rsidR="00A11163" w:rsidRPr="004567E2">
                <w:rPr>
                  <w:rStyle w:val="Hyperlink"/>
                  <w:rFonts w:ascii="Times New Roman" w:hAnsi="Times New Roman" w:cs="Times New Roman"/>
                  <w:sz w:val="24"/>
                  <w:szCs w:val="24"/>
                </w:rPr>
                <w:t>Technical Report</w:t>
              </w:r>
              <w:r w:rsidR="00A11163" w:rsidRPr="004567E2">
                <w:rPr>
                  <w:rStyle w:val="Hyperlink"/>
                  <w:rFonts w:ascii="Times New Roman" w:hAnsi="Times New Roman" w:cs="Times New Roman"/>
                  <w:b/>
                  <w:bCs/>
                  <w:sz w:val="24"/>
                  <w:szCs w:val="24"/>
                </w:rPr>
                <w:t xml:space="preserve"> </w:t>
              </w:r>
              <w:r w:rsidR="00A11163" w:rsidRPr="004567E2">
                <w:rPr>
                  <w:rStyle w:val="Hyperlink"/>
                  <w:rFonts w:ascii="Times New Roman" w:hAnsi="Times New Roman" w:cs="Times New Roman"/>
                  <w:sz w:val="24"/>
                  <w:szCs w:val="24"/>
                </w:rPr>
                <w:t>Use cases for assisting persons with disabilities using mobile applications</w:t>
              </w:r>
            </w:hyperlink>
            <w:r w:rsidR="00A11163" w:rsidRPr="004567E2">
              <w:rPr>
                <w:rFonts w:ascii="Times New Roman" w:hAnsi="Times New Roman" w:cs="Times New Roman"/>
                <w:sz w:val="24"/>
                <w:szCs w:val="24"/>
              </w:rPr>
              <w:t xml:space="preserve"> presents some applications on smartphones that can facilitate some of daily life tasks of persons with disabilities.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C10</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9.1, 10.2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Technical Paper ITU-T FSTP.ANS-Checklist “Compliance procedure and requirements for audio-based indoor and outdoor network navigation system for persons with vision impairment” explains test specifications regarding accessible audio-based network navigation systems specified in ITU-T Rec. F.921. The test involves testing both the capabilities and behaviour of an implementation and checking what is observed against the conformance requirements in the Recommendation.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C10</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9.1, 10.2, 11.2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r w:rsidRPr="004567E2">
              <w:rPr>
                <w:rFonts w:ascii="Times New Roman" w:hAnsi="Times New Roman" w:cs="Times New Roman"/>
                <w:sz w:val="24"/>
                <w:szCs w:val="24"/>
              </w:rPr>
              <w:t xml:space="preserve">ITU at its March 2017 meeting of ITU-T SG20 in Dubai (UAE) established a new </w:t>
            </w:r>
            <w:hyperlink r:id="rId707" w:history="1">
              <w:r w:rsidRPr="004567E2">
                <w:rPr>
                  <w:rStyle w:val="Hyperlink"/>
                  <w:rFonts w:ascii="Times New Roman" w:hAnsi="Times New Roman" w:cs="Times New Roman"/>
                  <w:sz w:val="24"/>
                  <w:szCs w:val="24"/>
                </w:rPr>
                <w:t>Focus Group on “Data Processing and Management to support IoT and Smart Cities &amp; Communities”</w:t>
              </w:r>
            </w:hyperlink>
            <w:r w:rsidRPr="004567E2">
              <w:rPr>
                <w:rFonts w:ascii="Times New Roman" w:hAnsi="Times New Roman" w:cs="Times New Roman"/>
                <w:sz w:val="24"/>
                <w:szCs w:val="24"/>
              </w:rPr>
              <w:t xml:space="preserve"> to research data processing and management in the context of smart cities. The Focus Group will review existing technical platforms and related guidelines for data processing and management, with a view to identifying standardization demands to be addressed by ITU-T SG20. A key priority of the Focus Group will be to propose mechanisms supporting the interoperability of datasets and data-management systems. The group will investigate established data-management technologies as well as emerging trends such as blockchain, promoting efficient, scalable approaches to the management of systems data. The </w:t>
            </w:r>
            <w:r w:rsidRPr="004567E2">
              <w:rPr>
                <w:rFonts w:ascii="Times New Roman" w:hAnsi="Times New Roman" w:cs="Times New Roman"/>
                <w:sz w:val="24"/>
                <w:szCs w:val="24"/>
              </w:rPr>
              <w:lastRenderedPageBreak/>
              <w:t>group will seek out innovations with potential to increase security and trust in data management, including advances in digital identification and certification. This analysis will also review technical challenges to be overcome in relation to data formats, metadata and data protection.</w:t>
            </w:r>
          </w:p>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r w:rsidRPr="004567E2">
              <w:rPr>
                <w:rFonts w:ascii="Times New Roman" w:hAnsi="Times New Roman" w:cs="Times New Roman"/>
                <w:sz w:val="24"/>
                <w:szCs w:val="24"/>
              </w:rPr>
              <w:t xml:space="preserve">In March 2017, ITU-T SG20 created a new </w:t>
            </w:r>
            <w:r w:rsidRPr="004567E2">
              <w:rPr>
                <w:rFonts w:ascii="Times New Roman" w:hAnsi="Times New Roman" w:cs="Times New Roman"/>
                <w:bCs/>
                <w:sz w:val="24"/>
                <w:szCs w:val="24"/>
              </w:rPr>
              <w:t>ITU-T Focus Group on “Data Processing and Management (DPM) to support IoT and Smart Cities &amp; Communities” (FG DPM)</w:t>
            </w:r>
            <w:r w:rsidRPr="004567E2">
              <w:rPr>
                <w:rFonts w:ascii="Times New Roman" w:hAnsi="Times New Roman" w:cs="Times New Roman"/>
                <w:sz w:val="24"/>
                <w:szCs w:val="24"/>
              </w:rPr>
              <w:t xml:space="preserve"> which had its first meeting from 17 to 19 July 2017 in Geneva, Switzerland. The work of the FG-DPM will be carried out through five Working Groups: WG1 - Use Cases, Requirements and Applications/Services; WG2 - DPM Framework, Architectures and Core Components; WG3 - Data sharing, Interoperability and Blockchain; WG4 - Security, Privacy and Trust including Governance and WG5 - Data Economy, commercialization, and monetisation. A number of Internet-related topics are being addressed by this FG such as DPM in the context of IoT, </w:t>
            </w:r>
            <w:r w:rsidRPr="004567E2">
              <w:rPr>
                <w:rFonts w:ascii="Times New Roman" w:hAnsi="Times New Roman" w:cs="Times New Roman"/>
                <w:sz w:val="24"/>
                <w:szCs w:val="24"/>
                <w:lang w:eastAsia="ko-KR"/>
              </w:rPr>
              <w:t xml:space="preserve">web based microdata and metadata formats for IoT, </w:t>
            </w:r>
            <w:r w:rsidRPr="004567E2">
              <w:rPr>
                <w:rFonts w:ascii="Times New Roman" w:hAnsi="Times New Roman" w:cs="Times New Roman"/>
                <w:sz w:val="24"/>
                <w:szCs w:val="24"/>
              </w:rPr>
              <w:t>blockchain usage in IoT for data management, security, privacy, and trust including data governance in DPM.</w:t>
            </w:r>
          </w:p>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lastRenderedPageBreak/>
              <w:t>C7, C2, C5, C6,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9.1, 11.2, 17.6, </w:t>
            </w:r>
            <w:r w:rsidRPr="004567E2">
              <w:rPr>
                <w:rFonts w:ascii="Times New Roman" w:hAnsi="Times New Roman" w:cs="Times New Roman"/>
                <w:sz w:val="24"/>
                <w:szCs w:val="24"/>
              </w:rPr>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708" w:history="1">
              <w:r w:rsidR="00A11163" w:rsidRPr="004567E2">
                <w:rPr>
                  <w:rStyle w:val="Hyperlink"/>
                  <w:rFonts w:ascii="Times New Roman" w:hAnsi="Times New Roman" w:cs="Times New Roman"/>
                  <w:sz w:val="24"/>
                  <w:szCs w:val="24"/>
                </w:rPr>
                <w:t>Joint Coordination Activity on Internet of Things and Smart Cities &amp; Communities</w:t>
              </w:r>
            </w:hyperlink>
            <w:r w:rsidR="00A11163" w:rsidRPr="004567E2">
              <w:rPr>
                <w:rFonts w:ascii="Times New Roman" w:hAnsi="Times New Roman" w:cs="Times New Roman"/>
                <w:sz w:val="24"/>
                <w:szCs w:val="24"/>
              </w:rPr>
              <w:t xml:space="preserve"> (JCA-IoT and SC&amp;C) coordinate the ITU-T work on the “Internet of Things and Smart Cities and Communities” and provide a visible contact point for IoT and its applications including smart cities and communities (SC&amp;C) activities within ITU-T. This would also help to coordinate with external bodies working in the field of IoT and SC&amp;C and enable effective two-way communication with these bodies. External bodies include representatives from relevant SDOs such as IEC, ISO or relevant academia, consortia or fora.</w:t>
            </w:r>
          </w:p>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r w:rsidRPr="004567E2">
              <w:rPr>
                <w:rFonts w:ascii="Times New Roman" w:hAnsi="Times New Roman" w:cs="Times New Roman"/>
                <w:sz w:val="24"/>
                <w:szCs w:val="24"/>
              </w:rPr>
              <w:t>The</w:t>
            </w:r>
            <w:hyperlink r:id="rId709" w:anchor="?topic=0.78&amp;workgroup=1&amp;searchValue=&amp;page=1&amp;sort=Revelance" w:history="1">
              <w:r w:rsidRPr="004567E2">
                <w:rPr>
                  <w:rStyle w:val="Hyperlink"/>
                  <w:rFonts w:ascii="Times New Roman" w:hAnsi="Times New Roman" w:cs="Times New Roman"/>
                  <w:sz w:val="24"/>
                  <w:szCs w:val="24"/>
                </w:rPr>
                <w:t xml:space="preserve"> IoT and Smart Cities and Communities Standards Roadmap</w:t>
              </w:r>
            </w:hyperlink>
            <w:r w:rsidRPr="004567E2">
              <w:rPr>
                <w:rFonts w:ascii="Times New Roman" w:hAnsi="Times New Roman" w:cs="Times New Roman"/>
                <w:sz w:val="24"/>
                <w:szCs w:val="24"/>
              </w:rPr>
              <w:t xml:space="preserve"> is being maintained by JCA-IoT and SC&amp;C.</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C7, 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9.1, 11.2,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sz w:val="24"/>
                <w:szCs w:val="24"/>
              </w:rPr>
            </w:pPr>
            <w:hyperlink r:id="rId710" w:history="1">
              <w:r w:rsidR="00A11163" w:rsidRPr="004567E2">
                <w:rPr>
                  <w:rStyle w:val="Hyperlink"/>
                  <w:rFonts w:ascii="Times New Roman" w:hAnsi="Times New Roman" w:cs="Times New Roman"/>
                  <w:sz w:val="24"/>
                  <w:szCs w:val="24"/>
                </w:rPr>
                <w:t>Recommendation ITU-T Y.4000/Y.2060 “Overview of the Internet of things”</w:t>
              </w:r>
            </w:hyperlink>
            <w:r w:rsidR="00A11163" w:rsidRPr="004567E2">
              <w:rPr>
                <w:rFonts w:ascii="Times New Roman" w:hAnsi="Times New Roman" w:cs="Times New Roman"/>
                <w:sz w:val="24"/>
                <w:szCs w:val="24"/>
              </w:rPr>
              <w:t xml:space="preserve"> provides an overview of the Internet of things (IoT). It clarifies the concept and scope of the IoT, identifies the fundamental characteristics and high-level requirements of the IoT and describes the IoT reference model. The ecosystem and business models are also provided in an informative appendix.</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11" w:tooltip="Machine socialization: Overview and reference model " w:history="1">
              <w:r w:rsidR="00A11163" w:rsidRPr="004567E2">
                <w:rPr>
                  <w:rStyle w:val="Hyperlink"/>
                  <w:rFonts w:ascii="Times New Roman" w:hAnsi="Times New Roman" w:cs="Times New Roman"/>
                  <w:sz w:val="24"/>
                  <w:szCs w:val="24"/>
                </w:rPr>
                <w:t>Recommendation ITU-T Y.4001/F.748.2 “Machine socialization: Overview and reference model”</w:t>
              </w:r>
            </w:hyperlink>
            <w:r w:rsidR="00A11163" w:rsidRPr="004567E2">
              <w:rPr>
                <w:rFonts w:ascii="Times New Roman" w:hAnsi="Times New Roman" w:cs="Times New Roman"/>
                <w:sz w:val="24"/>
                <w:szCs w:val="24"/>
              </w:rPr>
              <w:t xml:space="preserve"> explains machine socialization, which enables machines to cooperate with each other using their relations with other machine. In machine socialization, machines can be identified using an identifier of machines, features of capabilities, and owner(s) of machines and so on, and can be socialized with information of identified machine using make of relations. This Recommendation specifies the overview, requirements and reference model of machine socialization.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12" w:history="1">
              <w:r w:rsidR="00A11163" w:rsidRPr="004567E2">
                <w:rPr>
                  <w:rStyle w:val="Hyperlink"/>
                  <w:rFonts w:ascii="Times New Roman" w:hAnsi="Times New Roman" w:cs="Times New Roman"/>
                  <w:sz w:val="24"/>
                  <w:szCs w:val="24"/>
                </w:rPr>
                <w:t>Recommendation ITU-T Y.4003 “Overview of smart manufacturing in the context of the industrial Internet of things”</w:t>
              </w:r>
            </w:hyperlink>
            <w:r w:rsidR="00A11163" w:rsidRPr="004567E2">
              <w:rPr>
                <w:rFonts w:ascii="Times New Roman" w:hAnsi="Times New Roman" w:cs="Times New Roman"/>
                <w:sz w:val="24"/>
                <w:szCs w:val="24"/>
              </w:rPr>
              <w:t xml:space="preserve"> provides an overview of smart manufacturing in the context of the Industrial Internet of things (IIoT). The Recommendation introduces at first smart manufacturing and IIoT, including the smart manufacturing capabilities with respect to the Internet of things (IoT) reference model [ITU-T Y.4000]. Then, with respect to smart manufacturing in the context of the IIoT, it identifies fundamental system characteristics and high-level requirements, specifies a reference model and provides some use cases.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13" w:tooltip="Machine socialization: Relation management models and descriptions" w:history="1">
              <w:r w:rsidR="00A11163" w:rsidRPr="004567E2">
                <w:rPr>
                  <w:rStyle w:val="Hyperlink"/>
                  <w:rFonts w:ascii="Times New Roman" w:hAnsi="Times New Roman" w:cs="Times New Roman"/>
                  <w:sz w:val="24"/>
                  <w:szCs w:val="24"/>
                </w:rPr>
                <w:t>Recommendation ITU-T Y.4002/F.748.3 “Machine socialization: Relation management models and descriptions”</w:t>
              </w:r>
            </w:hyperlink>
            <w:r w:rsidR="00A11163" w:rsidRPr="004567E2">
              <w:rPr>
                <w:rFonts w:ascii="Times New Roman" w:hAnsi="Times New Roman" w:cs="Times New Roman"/>
                <w:sz w:val="24"/>
                <w:szCs w:val="24"/>
              </w:rPr>
              <w:t xml:space="preserve"> specifies the relation management models and descriptions for machine socialization which enables machines to cooperate to achieve a given task using their relations with other machines. This Recommendation also includes use cases of relation management models and presents schema to describe a relation.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14" w:tooltip="Terms and definitions for the Internet of things" w:history="1">
              <w:r w:rsidR="00A11163" w:rsidRPr="004567E2">
                <w:rPr>
                  <w:rStyle w:val="Hyperlink"/>
                  <w:rFonts w:ascii="Times New Roman" w:hAnsi="Times New Roman" w:cs="Times New Roman"/>
                  <w:sz w:val="24"/>
                  <w:szCs w:val="24"/>
                </w:rPr>
                <w:t>Recommendation ITU-T Y.4002/Y.2069 “Terms and definitions for the Internet of things”</w:t>
              </w:r>
            </w:hyperlink>
            <w:r w:rsidR="00A11163" w:rsidRPr="004567E2">
              <w:rPr>
                <w:rFonts w:ascii="Times New Roman" w:hAnsi="Times New Roman" w:cs="Times New Roman"/>
                <w:sz w:val="24"/>
                <w:szCs w:val="24"/>
              </w:rPr>
              <w:t xml:space="preserve"> specifies the terms and definitions relevant to the Internet of things (IoT) </w:t>
            </w:r>
            <w:r w:rsidR="00A11163" w:rsidRPr="004567E2">
              <w:rPr>
                <w:rFonts w:ascii="Times New Roman" w:hAnsi="Times New Roman" w:cs="Times New Roman"/>
                <w:sz w:val="24"/>
                <w:szCs w:val="24"/>
              </w:rPr>
              <w:lastRenderedPageBreak/>
              <w:t>from an ITU-T perspective, in order to clarify the Internet of things and IoT-related activities.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15" w:tooltip="Common requirements of the Internet of things" w:history="1">
              <w:r w:rsidR="00A11163" w:rsidRPr="004567E2">
                <w:rPr>
                  <w:rStyle w:val="Hyperlink"/>
                  <w:rFonts w:ascii="Times New Roman" w:hAnsi="Times New Roman" w:cs="Times New Roman"/>
                  <w:sz w:val="24"/>
                  <w:szCs w:val="24"/>
                </w:rPr>
                <w:t>Recommendation ITU-T Y.4100/Y.2066 “Common requirements of the Internet of things”</w:t>
              </w:r>
            </w:hyperlink>
            <w:r w:rsidR="00A11163" w:rsidRPr="004567E2">
              <w:rPr>
                <w:rFonts w:ascii="Times New Roman" w:hAnsi="Times New Roman" w:cs="Times New Roman"/>
                <w:sz w:val="24"/>
                <w:szCs w:val="24"/>
              </w:rPr>
              <w:t xml:space="preserve"> provides the common requirements of the Internet of things (IoT). These requirements are based on general use cases of the IoT and IoT actors, which are built from the definition of IoT contained in Recommendation ITU-T Y.2060. The common requirements of the IoT are independent of any specific application domain, which refer to the areas of knowledge or activity applied for one specific economic, commercial, social or administrative scope, such as transport application domain and health application domain.</w:t>
            </w:r>
            <w:r w:rsidR="00A11163" w:rsidRPr="004567E2">
              <w:rPr>
                <w:rFonts w:ascii="Times New Roman" w:hAnsi="Times New Roman" w:cs="Times New Roman"/>
                <w:sz w:val="24"/>
                <w:szCs w:val="24"/>
              </w:rPr>
              <w:br/>
              <w:t>This Recommendation builds on the overview of IoT (Recommendation ITU-T Y.2060), developing the common requirements based on general use cases of the IoT and the IoT actors and taking into account important areas of consideration from a requirement perspective. Some representative use cases of the IoT, which are abstracted from application domains, are also provided. The common requirements of the IoT specified in this Recommendation are classified into the categories of non-functional requirements, application support requirements, service requirements, communication requirements, device requirements, data management requirements and security and privacy protection requirements.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16" w:history="1">
              <w:r w:rsidR="00A11163" w:rsidRPr="004567E2">
                <w:rPr>
                  <w:rStyle w:val="Hyperlink"/>
                  <w:rFonts w:ascii="Times New Roman" w:hAnsi="Times New Roman" w:cs="Times New Roman"/>
                  <w:sz w:val="24"/>
                  <w:szCs w:val="24"/>
                </w:rPr>
                <w:t>Recommendation ITU-T Y.4101/Y.2067 “Common requirements and capabilities of a gateway for Internet of things applications”</w:t>
              </w:r>
            </w:hyperlink>
            <w:r w:rsidR="00A11163" w:rsidRPr="004567E2">
              <w:rPr>
                <w:rFonts w:ascii="Times New Roman" w:hAnsi="Times New Roman" w:cs="Times New Roman"/>
                <w:sz w:val="24"/>
                <w:szCs w:val="24"/>
              </w:rPr>
              <w:t xml:space="preserve"> provides the common requirements and capabilities of a gateway for Internet of things (IoT) applications. The provided common requirements and capabilities are intended to be generally applicable in gateway application scenarios.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17" w:tooltip="Requirements for Internet of things devices and operation of Internet of things applications during disasters" w:history="1">
              <w:r w:rsidR="00A11163" w:rsidRPr="004567E2">
                <w:rPr>
                  <w:rStyle w:val="Hyperlink"/>
                  <w:rFonts w:ascii="Times New Roman" w:hAnsi="Times New Roman" w:cs="Times New Roman"/>
                  <w:sz w:val="24"/>
                  <w:szCs w:val="24"/>
                </w:rPr>
                <w:t>Recommendation ITU-T Y.4102/Y.2074 “Requirements for Internet of things devices and operation of Internet of things applications during disasters”</w:t>
              </w:r>
            </w:hyperlink>
            <w:r w:rsidR="00A11163" w:rsidRPr="004567E2">
              <w:rPr>
                <w:rFonts w:ascii="Times New Roman" w:hAnsi="Times New Roman" w:cs="Times New Roman"/>
                <w:sz w:val="24"/>
                <w:szCs w:val="24"/>
              </w:rPr>
              <w:t xml:space="preserve"> provides requirements for Internet of things (IoT) devices used for operation of IoT applications in the context of disaster in addition to the common requirements of IoT in ITU</w:t>
            </w:r>
            <w:r w:rsidR="00A11163" w:rsidRPr="004567E2">
              <w:rPr>
                <w:rFonts w:ascii="Times New Roman" w:hAnsi="Times New Roman" w:cs="Times New Roman"/>
                <w:sz w:val="24"/>
                <w:szCs w:val="24"/>
              </w:rPr>
              <w:noBreakHyphen/>
              <w:t xml:space="preserve">T Y.2066. It also provides requirements for the operation of IoT </w:t>
            </w:r>
            <w:r w:rsidR="00A11163" w:rsidRPr="004567E2">
              <w:rPr>
                <w:rFonts w:ascii="Times New Roman" w:hAnsi="Times New Roman" w:cs="Times New Roman"/>
                <w:sz w:val="24"/>
                <w:szCs w:val="24"/>
              </w:rPr>
              <w:lastRenderedPageBreak/>
              <w:t>applications during disaster.</w:t>
            </w:r>
            <w:r w:rsidR="00A11163" w:rsidRPr="004567E2">
              <w:rPr>
                <w:rFonts w:ascii="Times New Roman" w:hAnsi="Times New Roman" w:cs="Times New Roman"/>
                <w:sz w:val="24"/>
                <w:szCs w:val="24"/>
              </w:rPr>
              <w:br/>
              <w:t>It is necessary to specify these requirements in order to use IoT devices and IoT applications during disaster for evacuation and rescue processes.</w:t>
            </w:r>
            <w:r w:rsidR="00A11163" w:rsidRPr="004567E2">
              <w:rPr>
                <w:rFonts w:ascii="Times New Roman" w:hAnsi="Times New Roman" w:cs="Times New Roman"/>
                <w:sz w:val="24"/>
                <w:szCs w:val="24"/>
              </w:rPr>
              <w:br/>
              <w:t>This Recommendation is relevant for IoT application developers and IoT service providers as well as emergency service providers.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18" w:tooltip="Common requirements for Internet of things (IoT) applications" w:history="1">
              <w:r w:rsidR="00A11163" w:rsidRPr="004567E2">
                <w:rPr>
                  <w:rStyle w:val="Hyperlink"/>
                  <w:rFonts w:ascii="Times New Roman" w:hAnsi="Times New Roman" w:cs="Times New Roman"/>
                  <w:sz w:val="24"/>
                  <w:szCs w:val="24"/>
                </w:rPr>
                <w:t>Recommendation ITU-T Y.4103/F.748.0 “Common requirements for Internet of things (IoT) applications”</w:t>
              </w:r>
            </w:hyperlink>
            <w:r w:rsidR="00A11163" w:rsidRPr="004567E2">
              <w:rPr>
                <w:rFonts w:ascii="Times New Roman" w:hAnsi="Times New Roman" w:cs="Times New Roman"/>
                <w:sz w:val="24"/>
                <w:szCs w:val="24"/>
              </w:rPr>
              <w:t xml:space="preserve"> includes the common requirements for Internet of things (IoT) applications enabling advanced services by interconnecting (physical and virtual) things based on, existing and evolving, interoperable information and communication technologies. </w:t>
            </w:r>
            <w:r w:rsidR="00A11163" w:rsidRPr="004567E2">
              <w:rPr>
                <w:rFonts w:ascii="Times New Roman" w:hAnsi="Times New Roman" w:cs="Times New Roman"/>
                <w:sz w:val="24"/>
                <w:szCs w:val="24"/>
              </w:rPr>
              <w:br/>
              <w:t xml:space="preserve">The requirements defined in this Recommendation are general requirements, and can therefore be applied to many kinds of IoT applications regardless of their types and characteristics. </w:t>
            </w:r>
            <w:r w:rsidR="00A11163" w:rsidRPr="004567E2">
              <w:rPr>
                <w:rFonts w:ascii="Times New Roman" w:hAnsi="Times New Roman" w:cs="Times New Roman"/>
                <w:sz w:val="24"/>
                <w:szCs w:val="24"/>
              </w:rPr>
              <w:br/>
              <w:t>This Recommendation is based on the high-level requirements and the reference model defined in Recommendation ITU-T Y.2060.</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19" w:tooltip="Service description and requirements for ubiquitous sensor network middleware" w:history="1">
              <w:r w:rsidR="00A11163" w:rsidRPr="004567E2">
                <w:rPr>
                  <w:rStyle w:val="Hyperlink"/>
                  <w:rFonts w:ascii="Times New Roman" w:hAnsi="Times New Roman" w:cs="Times New Roman"/>
                  <w:sz w:val="24"/>
                  <w:szCs w:val="24"/>
                </w:rPr>
                <w:t>Recommendation ITU-T Y.4104/F.744 “Service description and requirements for ubiquitous sensor network middleware”</w:t>
              </w:r>
            </w:hyperlink>
            <w:r w:rsidR="00A11163" w:rsidRPr="004567E2">
              <w:rPr>
                <w:rFonts w:ascii="Times New Roman" w:hAnsi="Times New Roman" w:cs="Times New Roman"/>
                <w:sz w:val="24"/>
                <w:szCs w:val="24"/>
              </w:rPr>
              <w:t xml:space="preserve"> describes ubiquitous sensor network (USN) services and requirements for USN middleware. To provide various USN services easily and effectively, it is desirable to define an intermediate entity such as USN middleware for providing functions commonly required by various USN services. This Recommendation covers USN service description, USN middleware description, use cases of USN services using USN middleware, the functional model for USN middleware and requirements for USN middleware.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20" w:history="1">
              <w:r w:rsidR="00A11163" w:rsidRPr="004567E2">
                <w:rPr>
                  <w:rStyle w:val="Hyperlink"/>
                  <w:rFonts w:ascii="Times New Roman" w:hAnsi="Times New Roman" w:cs="Times New Roman"/>
                  <w:sz w:val="24"/>
                  <w:szCs w:val="24"/>
                </w:rPr>
                <w:t>Recommendation ITU-T Y.4105/Y.222 “Requirements for support of ubiquitous sensor network (USN) applications and services in the NGN environment”</w:t>
              </w:r>
            </w:hyperlink>
            <w:r w:rsidR="00A11163" w:rsidRPr="004567E2">
              <w:rPr>
                <w:rFonts w:ascii="Times New Roman" w:hAnsi="Times New Roman" w:cs="Times New Roman"/>
                <w:sz w:val="24"/>
                <w:szCs w:val="24"/>
              </w:rPr>
              <w:t xml:space="preserve"> provides a description and general characteristics of ubiquitous sensor network (USN) and USN applications and services. It also analyses the service requirements of USN applications and services, and specifies the extended or new NGN capability requirements based on the service requirements.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21" w:history="1">
              <w:r w:rsidR="00A11163" w:rsidRPr="004567E2">
                <w:rPr>
                  <w:rStyle w:val="Hyperlink"/>
                  <w:rFonts w:ascii="Times New Roman" w:hAnsi="Times New Roman" w:cs="Times New Roman"/>
                  <w:sz w:val="24"/>
                  <w:szCs w:val="24"/>
                </w:rPr>
                <w:t>Recommendation ITU-T Y.4106/F.747.3 “Requirements and functional model for a ubiquitous network robot platform that supports ubiquitous sensor network applications and services”</w:t>
              </w:r>
            </w:hyperlink>
            <w:r w:rsidR="00A11163" w:rsidRPr="004567E2">
              <w:rPr>
                <w:rFonts w:ascii="Times New Roman" w:hAnsi="Times New Roman" w:cs="Times New Roman"/>
                <w:sz w:val="24"/>
                <w:szCs w:val="24"/>
              </w:rPr>
              <w:t xml:space="preserve"> describes the concept, use cases, requirements and functional model of a ubiquitous network robot platform that supports ubiquitous sensor network (USN) applications and services.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22" w:tooltip="Requirements for water quality assessment services using ubiquitous sensor networks (USNs)" w:history="1">
              <w:r w:rsidR="00A11163" w:rsidRPr="004567E2">
                <w:rPr>
                  <w:rStyle w:val="Hyperlink"/>
                  <w:rFonts w:ascii="Times New Roman" w:hAnsi="Times New Roman" w:cs="Times New Roman"/>
                  <w:sz w:val="24"/>
                  <w:szCs w:val="24"/>
                </w:rPr>
                <w:t>Recommendation ITU-T Y.4107/F.747.6 “Requirements for water quality assessment services using ubiquitous sensor networks (USNs)”</w:t>
              </w:r>
            </w:hyperlink>
            <w:r w:rsidR="00A11163" w:rsidRPr="004567E2">
              <w:rPr>
                <w:rFonts w:ascii="Times New Roman" w:hAnsi="Times New Roman" w:cs="Times New Roman"/>
                <w:sz w:val="24"/>
                <w:szCs w:val="24"/>
              </w:rPr>
              <w:t xml:space="preserve"> describes scenarios for the applications of water quality assessment and the sensor network technology that is the most suitable method to fulfil it.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23" w:history="1">
              <w:r w:rsidR="00A11163" w:rsidRPr="004567E2">
                <w:rPr>
                  <w:rStyle w:val="Hyperlink"/>
                  <w:rFonts w:ascii="Times New Roman" w:hAnsi="Times New Roman" w:cs="Times New Roman"/>
                  <w:sz w:val="24"/>
                  <w:szCs w:val="24"/>
                </w:rPr>
                <w:t>Recommendation ITU-T Y.4108/Y.2213 “NGN service requirements and capabilities for network aspects of applications and services using tag-based identification”</w:t>
              </w:r>
            </w:hyperlink>
            <w:r w:rsidR="00A11163" w:rsidRPr="004567E2">
              <w:rPr>
                <w:rFonts w:ascii="Times New Roman" w:hAnsi="Times New Roman" w:cs="Times New Roman"/>
                <w:sz w:val="24"/>
                <w:szCs w:val="24"/>
              </w:rPr>
              <w:t xml:space="preserve"> describes high-level service requirements and NGN capability requirements needed to support applications and services using tag-based identification. Several examples of applications and services using tag-based identification are also described with scenarios. The scope of this Recommendation is limited to applications and services using tag-based identification and they are distinguished by the following three mandatory elements: ID tag, ID terminal and identifier.</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24" w:history="1">
              <w:r w:rsidR="00A11163" w:rsidRPr="004567E2">
                <w:rPr>
                  <w:rStyle w:val="Hyperlink"/>
                  <w:rFonts w:ascii="Times New Roman" w:hAnsi="Times New Roman" w:cs="Times New Roman"/>
                  <w:sz w:val="24"/>
                  <w:szCs w:val="24"/>
                </w:rPr>
                <w:t>Recommendation ITU-T Y.4109/Y.2061 “Requirements for the support of machine-oriented communication applications in the next generation network environment”</w:t>
              </w:r>
            </w:hyperlink>
            <w:r w:rsidR="00A11163" w:rsidRPr="004567E2">
              <w:rPr>
                <w:rFonts w:ascii="Times New Roman" w:hAnsi="Times New Roman" w:cs="Times New Roman"/>
                <w:sz w:val="24"/>
                <w:szCs w:val="24"/>
              </w:rPr>
              <w:t xml:space="preserve"> provides an overview of machine-oriented communication (MOC) applications in the next generation network (NGN) environment. This includes the description of an MOC ecosystem, the characteristics of MOC and some relevant use cases. By analysing the service requirements of MOC applications, it specifies the requirements for NGN capabilities and the requirements of MOC-device domain capabilities based on these service requirements. Furthermore, this Recommendation provides a reference framework for MOC capabilities.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25" w:tooltip="Service and capability requirements for e-health monitoring services" w:history="1">
              <w:r w:rsidR="00A11163" w:rsidRPr="004567E2">
                <w:rPr>
                  <w:rStyle w:val="Hyperlink"/>
                  <w:rFonts w:ascii="Times New Roman" w:hAnsi="Times New Roman" w:cs="Times New Roman"/>
                  <w:sz w:val="24"/>
                  <w:szCs w:val="24"/>
                </w:rPr>
                <w:t>Recommendation ITU-T Y.4110/Y.2065 “Service and capability requirements for e-health monitoring services”</w:t>
              </w:r>
            </w:hyperlink>
            <w:r w:rsidR="00A11163" w:rsidRPr="004567E2">
              <w:rPr>
                <w:rFonts w:ascii="Times New Roman" w:hAnsi="Times New Roman" w:cs="Times New Roman"/>
                <w:sz w:val="24"/>
                <w:szCs w:val="24"/>
              </w:rPr>
              <w:t xml:space="preserve"> provides service and capability requirements for e-health monitoring services.</w:t>
            </w:r>
            <w:r w:rsidR="00A11163" w:rsidRPr="004567E2">
              <w:rPr>
                <w:rFonts w:ascii="Times New Roman" w:hAnsi="Times New Roman" w:cs="Times New Roman"/>
                <w:sz w:val="24"/>
                <w:szCs w:val="24"/>
              </w:rPr>
              <w:br/>
              <w:t>Three classes of e-health monitoring services, including their general and specific characteristics, are described. Service requirements for the support of e-health monitoring services are also described, and based on the identified service requirements, the capability requirements are specified.</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26" w:tooltip="Semantics based requirements and framework of the Internet of things" w:history="1">
              <w:r w:rsidR="00A11163" w:rsidRPr="004567E2">
                <w:rPr>
                  <w:rStyle w:val="Hyperlink"/>
                  <w:rFonts w:ascii="Times New Roman" w:hAnsi="Times New Roman" w:cs="Times New Roman"/>
                  <w:sz w:val="24"/>
                  <w:szCs w:val="24"/>
                </w:rPr>
                <w:t>Recommendation ITU-T Y.4111/Y.2076 “Semantics based requirements and framework of the Internet of things”</w:t>
              </w:r>
            </w:hyperlink>
            <w:r w:rsidR="00A11163" w:rsidRPr="004567E2">
              <w:rPr>
                <w:rFonts w:ascii="Times New Roman" w:hAnsi="Times New Roman" w:cs="Times New Roman"/>
                <w:sz w:val="24"/>
                <w:szCs w:val="24"/>
              </w:rPr>
              <w:t xml:space="preserve"> specifies semantics based requirements and framework of the IoT as a basis for further IoT semantics based standardization work, including semantic aspects for IoT services in different business domains, semantically enhanced IoT capabilities and others.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27" w:tooltip="Requirements of the plug and play capability of the Internet of things" w:history="1">
              <w:r w:rsidR="00A11163" w:rsidRPr="004567E2">
                <w:rPr>
                  <w:rStyle w:val="Hyperlink"/>
                  <w:rFonts w:ascii="Times New Roman" w:hAnsi="Times New Roman" w:cs="Times New Roman"/>
                  <w:sz w:val="24"/>
                  <w:szCs w:val="24"/>
                </w:rPr>
                <w:t>Recommendation ITU-T Y.4112/Y.2077 “Requirements of the plug and play capability of the Internet of things”</w:t>
              </w:r>
            </w:hyperlink>
            <w:r w:rsidR="00A11163" w:rsidRPr="004567E2">
              <w:rPr>
                <w:rFonts w:ascii="Times New Roman" w:hAnsi="Times New Roman" w:cs="Times New Roman"/>
                <w:sz w:val="24"/>
                <w:szCs w:val="24"/>
              </w:rPr>
              <w:t xml:space="preserve"> specifies the requirements of the plug and play capability of the Internet of Things (IoT), as a basis for further standardization work related to plug and play aspects in the IoT.</w:t>
            </w:r>
            <w:r w:rsidR="00A11163" w:rsidRPr="004567E2">
              <w:rPr>
                <w:rFonts w:ascii="Times New Roman" w:hAnsi="Times New Roman" w:cs="Times New Roman"/>
                <w:sz w:val="24"/>
                <w:szCs w:val="24"/>
              </w:rPr>
              <w:br/>
              <w:t>The Recommendation at first describes the concept and the purpose of the plug and play capability of the IoT, and then provides the components of this capability as well as its requirements.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28" w:history="1">
              <w:r w:rsidR="00A11163" w:rsidRPr="004567E2">
                <w:rPr>
                  <w:rStyle w:val="Hyperlink"/>
                  <w:rFonts w:ascii="Times New Roman" w:hAnsi="Times New Roman" w:cs="Times New Roman"/>
                  <w:sz w:val="24"/>
                  <w:szCs w:val="24"/>
                </w:rPr>
                <w:t>Recommendation ITU-T Y.4113 "Requirements of the network for the Internet of Things"</w:t>
              </w:r>
            </w:hyperlink>
            <w:r w:rsidR="00A11163" w:rsidRPr="004567E2">
              <w:rPr>
                <w:rFonts w:ascii="Times New Roman" w:hAnsi="Times New Roman" w:cs="Times New Roman"/>
                <w:sz w:val="24"/>
                <w:szCs w:val="24"/>
              </w:rPr>
              <w:t xml:space="preserve"> describes the requirements of the network for the Internet of Things (IoT) that enhance the common requirements of the IoT identified in ITU-T Recommendation Y.2066. The requirements focus on the transport functions of the network, but also cover service support functions.</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The requirements described in this Recommendation are common requirements for core network, access network and IoT area network.</w:t>
            </w:r>
            <w:r w:rsidRPr="004567E2">
              <w:rPr>
                <w:rFonts w:ascii="Times New Roman" w:hAnsi="Times New Roman" w:cs="Times New Roman"/>
                <w:sz w:val="24"/>
                <w:szCs w:val="24"/>
              </w:rPr>
              <w:br/>
              <w:t xml:space="preserve">There are a lot of use cases of the IoT with heterogeneous characteristics. Considering the current status of deployments in the IoT market, this Recommendation focuses on the requirements of the network for the IoT with </w:t>
            </w:r>
            <w:r w:rsidRPr="004567E2">
              <w:rPr>
                <w:rFonts w:ascii="Times New Roman" w:hAnsi="Times New Roman" w:cs="Times New Roman"/>
                <w:sz w:val="24"/>
                <w:szCs w:val="24"/>
              </w:rPr>
              <w:lastRenderedPageBreak/>
              <w:t>smart meters and sensors as devices. Other use cases will be covered in the future revisions of this Recommendation.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29" w:history="1">
              <w:r w:rsidR="00A11163" w:rsidRPr="004567E2">
                <w:rPr>
                  <w:rStyle w:val="Hyperlink"/>
                  <w:rFonts w:ascii="Times New Roman" w:hAnsi="Times New Roman" w:cs="Times New Roman"/>
                  <w:sz w:val="24"/>
                  <w:szCs w:val="24"/>
                </w:rPr>
                <w:t>Recommendation ITU-T Y.4114 “Specific requirements and capabilities of the IoT for Big Data”</w:t>
              </w:r>
            </w:hyperlink>
            <w:r w:rsidR="00A11163" w:rsidRPr="004567E2">
              <w:rPr>
                <w:rFonts w:ascii="Times New Roman" w:hAnsi="Times New Roman" w:cs="Times New Roman"/>
                <w:sz w:val="24"/>
                <w:szCs w:val="24"/>
              </w:rPr>
              <w:t xml:space="preserve"> specifies requirements and capabilities of the IoT for Big Data. This Recommendation complements the developments on common requirements of the IoT [ITU-T Y.2066] and functional framework of the IoT [ITU-T Y.2068] in terms of the specific requirements and capabilities that the IoT is expected to support in order to address the challenges related to Big Data. Also, it constitutes a basis for further standardization work (e.g. functional entities, APIs and protocols) concerning Big Data in the IoT.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30" w:history="1">
              <w:r w:rsidR="00A11163" w:rsidRPr="004567E2">
                <w:rPr>
                  <w:rStyle w:val="Hyperlink"/>
                  <w:rFonts w:ascii="Times New Roman" w:hAnsi="Times New Roman" w:cs="Times New Roman"/>
                  <w:sz w:val="24"/>
                  <w:szCs w:val="24"/>
                </w:rPr>
                <w:t>Recommendation ITU-T Y.4115 “Reference architecture for IoT device capabilities exposure”</w:t>
              </w:r>
            </w:hyperlink>
            <w:r w:rsidR="00A11163" w:rsidRPr="004567E2">
              <w:rPr>
                <w:rFonts w:ascii="Times New Roman" w:hAnsi="Times New Roman" w:cs="Times New Roman"/>
                <w:b/>
                <w:bCs/>
                <w:sz w:val="24"/>
                <w:szCs w:val="24"/>
              </w:rPr>
              <w:t xml:space="preserve"> </w:t>
            </w:r>
            <w:r w:rsidR="00A11163" w:rsidRPr="004567E2">
              <w:rPr>
                <w:rFonts w:ascii="Times New Roman" w:hAnsi="Times New Roman" w:cs="Times New Roman"/>
                <w:sz w:val="24"/>
                <w:szCs w:val="24"/>
              </w:rPr>
              <w:t>clarifies the concept of the IoT device capability exposure (DCE), identifies its general characteristics and common requirements and provides relevant reference architecture and common procedures.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31" w:history="1">
              <w:r w:rsidR="00A11163" w:rsidRPr="004567E2">
                <w:rPr>
                  <w:rStyle w:val="Hyperlink"/>
                  <w:rFonts w:ascii="Times New Roman" w:hAnsi="Times New Roman" w:cs="Times New Roman"/>
                  <w:sz w:val="24"/>
                  <w:szCs w:val="24"/>
                </w:rPr>
                <w:t>Recommendation ITU-T Y.4116 “Requirements of transportation safety service including use cases and service scenarios”</w:t>
              </w:r>
            </w:hyperlink>
            <w:r w:rsidR="00A11163" w:rsidRPr="004567E2">
              <w:rPr>
                <w:rFonts w:ascii="Times New Roman" w:hAnsi="Times New Roman" w:cs="Times New Roman"/>
                <w:sz w:val="24"/>
                <w:szCs w:val="24"/>
              </w:rPr>
              <w:t xml:space="preserve"> describes requirements for providing transportation safety services. The use cases and related service scenarios which are used to extract requirements for various IoT services and applications are also described in this Recommendation.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32" w:history="1">
              <w:r w:rsidR="00A11163" w:rsidRPr="004567E2">
                <w:rPr>
                  <w:rStyle w:val="Hyperlink"/>
                  <w:rFonts w:ascii="Times New Roman" w:hAnsi="Times New Roman" w:cs="Times New Roman"/>
                  <w:sz w:val="24"/>
                  <w:szCs w:val="24"/>
                </w:rPr>
                <w:t>Recommendation ITU-T Y.4117 “Requirements and capabilities of Internet of Things for support of wearable devices and related services”</w:t>
              </w:r>
            </w:hyperlink>
            <w:r w:rsidR="00A11163" w:rsidRPr="004567E2">
              <w:rPr>
                <w:rFonts w:ascii="Times New Roman" w:hAnsi="Times New Roman" w:cs="Times New Roman"/>
                <w:sz w:val="24"/>
                <w:szCs w:val="24"/>
              </w:rPr>
              <w:t xml:space="preserve"> describes characteristics, specific requirements and capabilities of the IoT for support of wearable devices and related services.</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From an IoT requirement perspective, the wearable device related services (WDS) are classified in this Recommendation in four main classes: wearable device related multimedia services (WDMS), wearable device related health management services (WDHS), wearable device related sport services (WDSS) and wearable device related assistant services (WDAS). Wearable devices (WDs) can be categorized according to their usage (WDS class).</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lastRenderedPageBreak/>
              <w:t>Specific requirements and capabilities of the IoT to support the different WDs and WDS are provided. Furthermore, information concerning relevant use cases for WDs and WDS is provided in appendix.</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33" w:history="1">
              <w:r w:rsidR="00A11163" w:rsidRPr="004567E2">
                <w:rPr>
                  <w:rStyle w:val="Hyperlink"/>
                  <w:rFonts w:ascii="Times New Roman" w:hAnsi="Times New Roman" w:cs="Times New Roman"/>
                  <w:sz w:val="24"/>
                  <w:szCs w:val="24"/>
                </w:rPr>
                <w:t>Recommendation ITU-T Y.4118 “Internet of Things requirements and technical capabilities for support of accounting and charging”</w:t>
              </w:r>
            </w:hyperlink>
            <w:r w:rsidR="00A11163" w:rsidRPr="004567E2">
              <w:rPr>
                <w:rFonts w:ascii="Times New Roman" w:hAnsi="Times New Roman" w:cs="Times New Roman"/>
                <w:sz w:val="24"/>
                <w:szCs w:val="24"/>
              </w:rPr>
              <w:t xml:space="preserve"> provides accounting and charging requirements for IoT as well as an IoT accounting and charging technical capability framework, in order to assist in the standardization of accounting and charging technical mechanisms for IoT and to facilitate the development of the IoT market. The Recommendation focuses on the network layer capabilities and service support and application support layer capabilities, as well as business use cases applied to IoT. The use cases, requirements and technical capability framework provided in this Recommendation are from a technical point view.</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34" w:history="1">
              <w:r w:rsidR="00A11163" w:rsidRPr="004567E2">
                <w:rPr>
                  <w:rStyle w:val="Hyperlink"/>
                  <w:rFonts w:ascii="Times New Roman" w:hAnsi="Times New Roman" w:cs="Times New Roman"/>
                  <w:sz w:val="24"/>
                  <w:szCs w:val="24"/>
                </w:rPr>
                <w:t>Recommendation ITU-T Y.4119 “Requirements and capability framework for IoT-based automotive emergency response system”</w:t>
              </w:r>
            </w:hyperlink>
            <w:r w:rsidR="00A11163" w:rsidRPr="004567E2">
              <w:rPr>
                <w:rFonts w:ascii="Times New Roman" w:hAnsi="Times New Roman" w:cs="Times New Roman"/>
                <w:sz w:val="24"/>
                <w:szCs w:val="24"/>
              </w:rPr>
              <w:t xml:space="preserve"> provides an overview of an IoT-based automotive emergency response system (AERS), identifies requirements of the AERS for aftermarket devices, and provides a capability framework of the AERS.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35" w:history="1">
              <w:r w:rsidR="00A11163" w:rsidRPr="004567E2">
                <w:rPr>
                  <w:rStyle w:val="Hyperlink"/>
                  <w:rFonts w:ascii="Times New Roman" w:hAnsi="Times New Roman" w:cs="Times New Roman"/>
                  <w:sz w:val="24"/>
                  <w:szCs w:val="24"/>
                </w:rPr>
                <w:t>Recommendation ITU-T Y.4120 “Requirements of Internet of things applications for smart retail stores”</w:t>
              </w:r>
            </w:hyperlink>
            <w:r w:rsidR="00A11163" w:rsidRPr="004567E2">
              <w:rPr>
                <w:rFonts w:ascii="Times New Roman" w:hAnsi="Times New Roman" w:cs="Times New Roman"/>
                <w:sz w:val="24"/>
                <w:szCs w:val="24"/>
              </w:rPr>
              <w:t xml:space="preserve"> provides requirements of IoT applications for smart retail stores. The usage of the IoT enables “smart retail stores”. The IoT can enable a safe and efficient retail store management system for non-stop operation (24 hours / 365 days): the collection and monitoring in real time of information related to the various kinds of equipment in stores may allow early detection of equipment failure and accurate prediction of equipment problems. For an effective usage of the IoT by retail store operators and store equipment providers, appropriate guidelines for IoT applications for smart retail stores are necessary.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36" w:history="1">
              <w:r w:rsidR="00A11163" w:rsidRPr="004567E2">
                <w:rPr>
                  <w:rStyle w:val="Hyperlink"/>
                  <w:rFonts w:ascii="Times New Roman" w:hAnsi="Times New Roman" w:cs="Times New Roman"/>
                  <w:sz w:val="24"/>
                  <w:szCs w:val="24"/>
                </w:rPr>
                <w:t>Recommendation ITU-T Y.4121 “Requirements of an Internet of Things enabled network for support of applications for global processes of the Earth”</w:t>
              </w:r>
            </w:hyperlink>
            <w:r w:rsidR="00A11163" w:rsidRPr="004567E2">
              <w:rPr>
                <w:rFonts w:ascii="Times New Roman" w:hAnsi="Times New Roman" w:cs="Times New Roman"/>
                <w:sz w:val="24"/>
                <w:szCs w:val="24"/>
              </w:rPr>
              <w:t xml:space="preserve"> describes key IoT GP features, deployment schemes of IoT GP devices and requirements of the </w:t>
            </w:r>
            <w:r w:rsidR="00A11163" w:rsidRPr="004567E2">
              <w:rPr>
                <w:rFonts w:ascii="Times New Roman" w:hAnsi="Times New Roman" w:cs="Times New Roman"/>
                <w:sz w:val="24"/>
                <w:szCs w:val="24"/>
              </w:rPr>
              <w:lastRenderedPageBreak/>
              <w:t>IoT GP network. IoT applications for global processes, such as advanced detection of natural disasters, present demanding requirements for real-time distributed IoT networks. Internet of Things for monitoring and study of Global Processes (IoT GP) is an innovative concept that combines Internet of Things (IoT) devices distributed all over the world and one or more Control and Management Centers (CMCs) for monitoring of global natural and man-made processes. The key idea of IoT GP is consolidation in real-time of sensor data from different parts of the Earth, allowing enhanced disaster preparedness and development of advanced models of global processes. For example, IoT GP can be used to detect areas of possible occurrence of earthquakes, floods, wildfires, heat waves, etc.</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37" w:history="1">
              <w:r w:rsidR="00A11163" w:rsidRPr="004567E2">
                <w:rPr>
                  <w:rStyle w:val="Hyperlink"/>
                  <w:rFonts w:ascii="Times New Roman" w:hAnsi="Times New Roman" w:cs="Times New Roman"/>
                  <w:sz w:val="24"/>
                  <w:szCs w:val="24"/>
                </w:rPr>
                <w:t>Recommendation ITU-T Y.4200 “Requirements for interoperability of smart city platforms”</w:t>
              </w:r>
            </w:hyperlink>
            <w:r w:rsidR="00A11163" w:rsidRPr="004567E2">
              <w:rPr>
                <w:rFonts w:ascii="Times New Roman" w:hAnsi="Times New Roman" w:cs="Times New Roman"/>
                <w:sz w:val="24"/>
                <w:szCs w:val="24"/>
              </w:rPr>
              <w:t xml:space="preserve"> defines the requirements for interoperability of a smart city platform (SCP) and reference points in order to ensure the correct functioning of the city services. The SCP offers services to a smart city. Interoperability between SCPs allows the increase in the number of services and their quality. It enables the provision of better services to citizens, and at the same time ensures maximum efficiency, scalability and simple integration. By permitting interoperability with other platforms, the SCP will also encourage local economic development through innovation and competition.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38" w:history="1">
              <w:r w:rsidR="00A11163" w:rsidRPr="004567E2">
                <w:rPr>
                  <w:rStyle w:val="Hyperlink"/>
                  <w:rFonts w:ascii="Times New Roman" w:hAnsi="Times New Roman" w:cs="Times New Roman"/>
                  <w:sz w:val="24"/>
                  <w:szCs w:val="24"/>
                </w:rPr>
                <w:t>Recommendation ITU-T Y.4201 “High-level requirements and reference framework of smart city platform”</w:t>
              </w:r>
            </w:hyperlink>
            <w:r w:rsidR="00A11163" w:rsidRPr="004567E2">
              <w:rPr>
                <w:rFonts w:ascii="Times New Roman" w:hAnsi="Times New Roman" w:cs="Times New Roman"/>
                <w:sz w:val="24"/>
                <w:szCs w:val="24"/>
              </w:rPr>
              <w:t xml:space="preserve"> presents the high-level requirements and reference framework of smart city platform (SCP). The SCP is a fundamental platform supporting all the services and applications of a smart city, with the objective to improve quality of life, provide urban operation and services for the benefit of the citizens while ensuring city sustainability. These high-level requirements include comprehensive and updated repositories of city information, infrastructure life-cycle management, inter-system communication, security support, maintenance support, controls of processer, decision making support, real-time dissemination of public information, resiliency, and interoperability. This </w:t>
            </w:r>
            <w:r w:rsidR="00A11163" w:rsidRPr="004567E2">
              <w:rPr>
                <w:rFonts w:ascii="Times New Roman" w:hAnsi="Times New Roman" w:cs="Times New Roman"/>
                <w:sz w:val="24"/>
                <w:szCs w:val="24"/>
              </w:rPr>
              <w:lastRenderedPageBreak/>
              <w:t>Recommendation benefits the plan, design, construction, deployment, operation and maintenance of smart cities and communities.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sz w:val="24"/>
                <w:szCs w:val="24"/>
              </w:rPr>
            </w:pPr>
            <w:hyperlink r:id="rId739" w:tooltip="Sensor control networks and related applications in a next generation network environment" w:history="1">
              <w:r w:rsidR="00A11163" w:rsidRPr="004567E2">
                <w:rPr>
                  <w:rStyle w:val="Hyperlink"/>
                  <w:rFonts w:ascii="Times New Roman" w:hAnsi="Times New Roman" w:cs="Times New Roman"/>
                  <w:sz w:val="24"/>
                  <w:szCs w:val="24"/>
                </w:rPr>
                <w:t>Recommendation ITU-T Y.4250/Y.2222 “Sensor control networks and related applications in a next generation network environment”</w:t>
              </w:r>
            </w:hyperlink>
            <w:r w:rsidR="00A11163" w:rsidRPr="004567E2">
              <w:rPr>
                <w:rFonts w:ascii="Times New Roman" w:hAnsi="Times New Roman" w:cs="Times New Roman"/>
                <w:sz w:val="24"/>
                <w:szCs w:val="24"/>
              </w:rPr>
              <w:t xml:space="preserve"> provides an introduction to sensor control networks (SCNs) and related applications in a next generation network (NGN) environment. More specifically, it provides an overview of SCNs, configurations for SCN applications and service requirements of SCN applications for support in a NGN environment.</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40" w:tooltip="Capabilities of ubiquitous sensor networks for supporting the requirements of smart metering services" w:history="1">
              <w:r w:rsidR="00A11163" w:rsidRPr="004567E2">
                <w:rPr>
                  <w:rStyle w:val="Hyperlink"/>
                  <w:rFonts w:ascii="Times New Roman" w:hAnsi="Times New Roman" w:cs="Times New Roman"/>
                  <w:sz w:val="24"/>
                  <w:szCs w:val="24"/>
                </w:rPr>
                <w:t>Recommendation ITU-T Y.4251/F.747.1 “Capabilities of ubiquitous sensor networks for supporting the requirements of smart metering services”</w:t>
              </w:r>
            </w:hyperlink>
            <w:r w:rsidR="00A11163" w:rsidRPr="004567E2">
              <w:rPr>
                <w:rFonts w:ascii="Times New Roman" w:hAnsi="Times New Roman" w:cs="Times New Roman"/>
                <w:sz w:val="24"/>
                <w:szCs w:val="24"/>
              </w:rPr>
              <w:t xml:space="preserve"> identifies the capabilities of ubiquitous sensor networks (USNs) for supporting the requirements of smart metering services. To this end, an overview of smart metering is described, with a clarification between smart grids and smart metering provided. This Recommendation takes into account a few typical use case scenarios of smart metering and identifies the general requirements and USN based smart metering services to support these use cases. Finally this Recommendation defines USN capabilities based on identified requirements for providing smart metering services.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41" w:tooltip="Energy saving using smart objects in home networks" w:history="1">
              <w:r w:rsidR="00A11163" w:rsidRPr="004567E2">
                <w:rPr>
                  <w:rStyle w:val="Hyperlink"/>
                  <w:rFonts w:ascii="Times New Roman" w:hAnsi="Times New Roman" w:cs="Times New Roman"/>
                  <w:sz w:val="24"/>
                  <w:szCs w:val="24"/>
                </w:rPr>
                <w:t>Recommendation ITU-T Y.4252/Y.2064 “Energy saving using smart objects in home networks”</w:t>
              </w:r>
            </w:hyperlink>
            <w:r w:rsidR="00A11163" w:rsidRPr="004567E2">
              <w:rPr>
                <w:rFonts w:ascii="Times New Roman" w:hAnsi="Times New Roman" w:cs="Times New Roman"/>
                <w:sz w:val="24"/>
                <w:szCs w:val="24"/>
              </w:rPr>
              <w:t xml:space="preserve"> describes requirements and capabilities for saving energy by using smart objects in home networks. It also presents the functional architecture of key components for saving energy through home/building automation.</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42" w:tooltip="Framework of the web of things" w:history="1">
              <w:r w:rsidR="00A11163" w:rsidRPr="004567E2">
                <w:rPr>
                  <w:rStyle w:val="Hyperlink"/>
                  <w:rFonts w:ascii="Times New Roman" w:hAnsi="Times New Roman" w:cs="Times New Roman"/>
                  <w:sz w:val="24"/>
                  <w:szCs w:val="24"/>
                </w:rPr>
                <w:t>Recommendation ITU-T Y.4400/Y.2063 “Framework of the web of things”</w:t>
              </w:r>
            </w:hyperlink>
            <w:r w:rsidR="00A11163" w:rsidRPr="004567E2">
              <w:rPr>
                <w:rFonts w:ascii="Times New Roman" w:hAnsi="Times New Roman" w:cs="Times New Roman"/>
                <w:sz w:val="24"/>
                <w:szCs w:val="24"/>
              </w:rPr>
              <w:t xml:space="preserve"> provides a framework of the web of things (WoT). As the use of various devices has become so widespread, it is difficult to access data on these devices in a unified way. The WoT allows physical devices to be accessed as resources of both the web and services/applications based upon a web-based service environment, as well as through legacy telecommunications. </w:t>
            </w:r>
            <w:r w:rsidR="00A11163" w:rsidRPr="004567E2">
              <w:rPr>
                <w:rFonts w:ascii="Times New Roman" w:hAnsi="Times New Roman" w:cs="Times New Roman"/>
                <w:sz w:val="24"/>
                <w:szCs w:val="24"/>
              </w:rPr>
              <w:br/>
              <w:t xml:space="preserve">This Recommendation describes the overview of the WoT and identifies the </w:t>
            </w:r>
            <w:r w:rsidR="00A11163" w:rsidRPr="004567E2">
              <w:rPr>
                <w:rFonts w:ascii="Times New Roman" w:hAnsi="Times New Roman" w:cs="Times New Roman"/>
                <w:sz w:val="24"/>
                <w:szCs w:val="24"/>
              </w:rPr>
              <w:lastRenderedPageBreak/>
              <w:t>requirements to support the WoT. In addition, this Recommendation specifies the functional architecture including a deployment model for the WoT.</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43" w:tooltip="Functional framework and capabilities of the Internet of things " w:history="1">
              <w:r w:rsidR="00A11163" w:rsidRPr="004567E2">
                <w:rPr>
                  <w:rStyle w:val="Hyperlink"/>
                  <w:rFonts w:ascii="Times New Roman" w:hAnsi="Times New Roman" w:cs="Times New Roman"/>
                  <w:sz w:val="24"/>
                  <w:szCs w:val="24"/>
                </w:rPr>
                <w:t>Recommendation ITU-T Y.4401/Y.2068 “Functional framework and capabilities of the Internet of thing”</w:t>
              </w:r>
            </w:hyperlink>
            <w:r w:rsidR="00A11163" w:rsidRPr="004567E2">
              <w:rPr>
                <w:rFonts w:ascii="Times New Roman" w:hAnsi="Times New Roman" w:cs="Times New Roman"/>
                <w:sz w:val="24"/>
                <w:szCs w:val="24"/>
              </w:rPr>
              <w:t xml:space="preserve"> provides a description of the basic capabilities of the Internet of things (IoT), based on the functional view, the implementation view and the deployment view of the IoT functional framework described in this Recommendation, in order to fulfil the IoT common requirements specified in Recommendation ITU-T Y.2066.</w:t>
            </w:r>
            <w:r w:rsidR="00A11163" w:rsidRPr="004567E2">
              <w:rPr>
                <w:rFonts w:ascii="Times New Roman" w:hAnsi="Times New Roman" w:cs="Times New Roman"/>
                <w:sz w:val="24"/>
                <w:szCs w:val="24"/>
              </w:rPr>
              <w:br/>
              <w:t>This Recommendation also describes additional capabilities of the IoT for the integration of cloud computing and big data technologies with the IoT.</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44" w:tooltip="Requirements and functional architecture for the open ubiquitous sensor network service platform" w:history="1">
              <w:r w:rsidR="00A11163" w:rsidRPr="004567E2">
                <w:rPr>
                  <w:rStyle w:val="Hyperlink"/>
                  <w:rFonts w:ascii="Times New Roman" w:hAnsi="Times New Roman" w:cs="Times New Roman"/>
                  <w:sz w:val="24"/>
                  <w:szCs w:val="24"/>
                </w:rPr>
                <w:t>Recommendation ITU-T Y.4402/F.747.4 “Requirements and functional architecture for the open ubiquitous sensor network service platform”</w:t>
              </w:r>
            </w:hyperlink>
            <w:r w:rsidR="00A11163" w:rsidRPr="004567E2">
              <w:rPr>
                <w:rFonts w:ascii="Times New Roman" w:hAnsi="Times New Roman" w:cs="Times New Roman"/>
                <w:sz w:val="24"/>
                <w:szCs w:val="24"/>
              </w:rPr>
              <w:t xml:space="preserve"> defines the requirements and functional architecture for the open ubiquitous sensor network (USN) service platform.</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45" w:history="1">
              <w:r w:rsidR="00A11163" w:rsidRPr="004567E2">
                <w:rPr>
                  <w:rStyle w:val="Hyperlink"/>
                  <w:rFonts w:ascii="Times New Roman" w:hAnsi="Times New Roman" w:cs="Times New Roman"/>
                  <w:sz w:val="24"/>
                  <w:szCs w:val="24"/>
                </w:rPr>
                <w:t>Recommendation ITU-T Y.4403/Y.2026 “Functional requirements and architecture of the next generation network for support of ubiquitous sensor network applications and services”</w:t>
              </w:r>
            </w:hyperlink>
            <w:r w:rsidR="00A11163" w:rsidRPr="004567E2">
              <w:rPr>
                <w:rFonts w:ascii="Times New Roman" w:hAnsi="Times New Roman" w:cs="Times New Roman"/>
                <w:sz w:val="24"/>
                <w:szCs w:val="24"/>
              </w:rPr>
              <w:t xml:space="preserve"> includes functional requirements and architecture of the next generation network (NGN) for the support of ubiquitous sensor network (USN) applications and services. This Recommendation is based on the capabilities defined in Recommendation ITU T Y.2221.</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46" w:tooltip="Framework of object-to-object communication for ubiquitous networking in next generation networks" w:history="1">
              <w:r w:rsidR="00A11163" w:rsidRPr="004567E2">
                <w:rPr>
                  <w:rStyle w:val="Hyperlink"/>
                  <w:rFonts w:ascii="Times New Roman" w:hAnsi="Times New Roman" w:cs="Times New Roman"/>
                  <w:sz w:val="24"/>
                  <w:szCs w:val="24"/>
                </w:rPr>
                <w:t>Recommendation ITU-T Y.4404/Y.2062 “Framework of object-to-object communication for ubiquitous networking in next generation networks”</w:t>
              </w:r>
            </w:hyperlink>
            <w:r w:rsidR="00A11163" w:rsidRPr="004567E2">
              <w:rPr>
                <w:rFonts w:ascii="Times New Roman" w:hAnsi="Times New Roman" w:cs="Times New Roman"/>
                <w:sz w:val="24"/>
                <w:szCs w:val="24"/>
              </w:rPr>
              <w:t xml:space="preserve"> describes the concept and high-level architectural model of object-to-object communication for ubiquitous networking in next generation networks (NGNs). It also presents requirements and a mechanism for identification of all objects and for providing connectivity to them.</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47" w:tooltip="Architecture of a system for multimedia information access triggered by tag-based identification" w:history="1">
              <w:r w:rsidR="00A11163" w:rsidRPr="004567E2">
                <w:rPr>
                  <w:rStyle w:val="Hyperlink"/>
                  <w:rFonts w:ascii="Times New Roman" w:hAnsi="Times New Roman" w:cs="Times New Roman"/>
                  <w:sz w:val="24"/>
                  <w:szCs w:val="24"/>
                </w:rPr>
                <w:t>Recommendation ITU-T Y.4405/H.621 “Architecture of a system for multimedia information access triggered by tag-based identification”</w:t>
              </w:r>
            </w:hyperlink>
            <w:r w:rsidR="00A11163" w:rsidRPr="004567E2">
              <w:rPr>
                <w:rFonts w:ascii="Times New Roman" w:hAnsi="Times New Roman" w:cs="Times New Roman"/>
                <w:sz w:val="24"/>
                <w:szCs w:val="24"/>
              </w:rPr>
              <w:t xml:space="preserve"> defines the system architecture for the multimedia information access triggered by tag-based </w:t>
            </w:r>
            <w:r w:rsidR="00A11163" w:rsidRPr="004567E2">
              <w:rPr>
                <w:rFonts w:ascii="Times New Roman" w:hAnsi="Times New Roman" w:cs="Times New Roman"/>
                <w:sz w:val="24"/>
                <w:szCs w:val="24"/>
              </w:rPr>
              <w:lastRenderedPageBreak/>
              <w:t>identification on the basis of Recommendation ITU-T F.771, and serves as a technical introduction to subsequent definition of detailed system components and protocols. The services treated by this Recommendation provide the users with a new method to refer to the multimedia content without typing its address on a keyboard or inputting the name of objects about which relevant information is to be retrieved. This is one of the major communication services using identification (ID) tags such as radio frequency identifications (RFIDs), smart cards and barcodes. International standardization of these services will give a big impact to international multimedia information services using ID tags. It contains the functional model, its constituent components as well as its workflow. An appendix describes how this architecture realizes typical services.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48" w:history="1">
              <w:r w:rsidR="00A11163" w:rsidRPr="004567E2">
                <w:rPr>
                  <w:rStyle w:val="Hyperlink"/>
                  <w:rFonts w:ascii="Times New Roman" w:hAnsi="Times New Roman" w:cs="Times New Roman"/>
                  <w:sz w:val="24"/>
                  <w:szCs w:val="24"/>
                </w:rPr>
                <w:t>Recommendation ITU-T Y.4406/Y.2016 “Functional requirements and architecture of the NGN for applications and services using tag-based identification”</w:t>
              </w:r>
            </w:hyperlink>
            <w:r w:rsidR="00A11163" w:rsidRPr="004567E2">
              <w:rPr>
                <w:rFonts w:ascii="Times New Roman" w:hAnsi="Times New Roman" w:cs="Times New Roman"/>
                <w:sz w:val="24"/>
                <w:szCs w:val="24"/>
              </w:rPr>
              <w:t xml:space="preserve"> includes functional requirements and architecture of the NGN for the support of applications and services using tag-based identification. This Recommendation is based on the capabilities defined in Recommendation ITU-T Y.2213.</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49" w:tooltip="Framework of networked vehicle services and applications using NGN" w:history="1">
              <w:r w:rsidR="00A11163" w:rsidRPr="004567E2">
                <w:rPr>
                  <w:rStyle w:val="Hyperlink"/>
                  <w:rFonts w:ascii="Times New Roman" w:hAnsi="Times New Roman" w:cs="Times New Roman"/>
                  <w:sz w:val="24"/>
                  <w:szCs w:val="24"/>
                </w:rPr>
                <w:t>Recommendation ITU-T Y.4407/Y.2281 “Framework of networked vehicle services and applications using NGN”</w:t>
              </w:r>
            </w:hyperlink>
            <w:r w:rsidR="00A11163" w:rsidRPr="004567E2">
              <w:rPr>
                <w:rFonts w:ascii="Times New Roman" w:hAnsi="Times New Roman" w:cs="Times New Roman"/>
                <w:sz w:val="24"/>
                <w:szCs w:val="24"/>
              </w:rPr>
              <w:t xml:space="preserve"> describes the framework of networked vehicle services and applications in the context of next generation networks (NGN). This Recommendation identifies the relationship between NGN and a networked vehicle as well as requirements taking into consideration the necessity of supporting networked vehicle services and applications using NGN. In addition, a framework architecture of NGN-capable networked vehicle and intelligent transport systems (ITS) infrastructure is described to support the communication features of an NGN harmonized with the networked vehicle.</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50" w:tooltip="Capability framework for e-health monitoring services" w:history="1">
              <w:r w:rsidR="00A11163" w:rsidRPr="004567E2">
                <w:rPr>
                  <w:rStyle w:val="Hyperlink"/>
                  <w:rFonts w:ascii="Times New Roman" w:hAnsi="Times New Roman" w:cs="Times New Roman"/>
                  <w:sz w:val="24"/>
                  <w:szCs w:val="24"/>
                </w:rPr>
                <w:t>Recommendation ITU-T Y.4408/Y.2075 “Capability framework for e-health monitoring services”</w:t>
              </w:r>
            </w:hyperlink>
            <w:r w:rsidR="00A11163" w:rsidRPr="004567E2">
              <w:rPr>
                <w:rFonts w:ascii="Times New Roman" w:hAnsi="Times New Roman" w:cs="Times New Roman"/>
                <w:sz w:val="24"/>
                <w:szCs w:val="24"/>
              </w:rPr>
              <w:t xml:space="preserve"> specifies the capability framework for support of the requirements of e-health monitoring (EHM) services (Recommendation ITU-T Y.2065). </w:t>
            </w:r>
            <w:r w:rsidR="00A11163" w:rsidRPr="004567E2">
              <w:rPr>
                <w:rFonts w:ascii="Times New Roman" w:hAnsi="Times New Roman" w:cs="Times New Roman"/>
                <w:sz w:val="24"/>
                <w:szCs w:val="24"/>
              </w:rPr>
              <w:br/>
            </w:r>
            <w:r w:rsidR="00A11163" w:rsidRPr="004567E2">
              <w:rPr>
                <w:rFonts w:ascii="Times New Roman" w:hAnsi="Times New Roman" w:cs="Times New Roman"/>
                <w:sz w:val="24"/>
                <w:szCs w:val="24"/>
              </w:rPr>
              <w:lastRenderedPageBreak/>
              <w:t xml:space="preserve">To facilitate the identification of the capabilities in support of EHM services, an EHM conceptual framework is provided making usage of five components (i.e., EHM terminal, EHM end point, EHM gateway, Internet of things (IoT) platform and EHM application server) and the relationships among these components. </w:t>
            </w:r>
            <w:r w:rsidR="00A11163" w:rsidRPr="004567E2">
              <w:rPr>
                <w:rFonts w:ascii="Times New Roman" w:hAnsi="Times New Roman" w:cs="Times New Roman"/>
                <w:sz w:val="24"/>
                <w:szCs w:val="24"/>
              </w:rPr>
              <w:br/>
              <w:t>Based on the EHM conceptual framework and the requirements specified in Recommendation ITU</w:t>
            </w:r>
            <w:r w:rsidR="00A11163" w:rsidRPr="004567E2">
              <w:rPr>
                <w:rFonts w:ascii="Times New Roman" w:hAnsi="Times New Roman" w:cs="Times New Roman"/>
                <w:sz w:val="24"/>
                <w:szCs w:val="24"/>
              </w:rPr>
              <w:noBreakHyphen/>
              <w:t>T Y.2065, the EHM capability framework is provided including the per-layer and cross-layer distribution of EHM capabilities in the five EHM components.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51" w:tooltip="Requirements and architecture of the home energy management system and home network services" w:history="1">
              <w:r w:rsidR="00A11163" w:rsidRPr="004567E2">
                <w:rPr>
                  <w:rStyle w:val="Hyperlink"/>
                  <w:rFonts w:ascii="Times New Roman" w:hAnsi="Times New Roman" w:cs="Times New Roman"/>
                  <w:sz w:val="24"/>
                  <w:szCs w:val="24"/>
                </w:rPr>
                <w:t>Recommendation ITU-T Y.4409/Y.2070 “Requirements and architecture of the home energy management system and home network services”</w:t>
              </w:r>
            </w:hyperlink>
            <w:r w:rsidR="00A11163" w:rsidRPr="004567E2">
              <w:rPr>
                <w:rFonts w:ascii="Times New Roman" w:hAnsi="Times New Roman" w:cs="Times New Roman"/>
                <w:sz w:val="24"/>
                <w:szCs w:val="24"/>
              </w:rPr>
              <w:t xml:space="preserve"> provides the requirements and architecture of the home energy management system (HEMS) and home network (HN) services. The HEMS supports energy efficiency and reduction of energy consumption by monitoring and controlling devices such as home appliances, storage batteries and sensors connected to the HN from the HEMS application.</w:t>
            </w:r>
            <w:r w:rsidR="00A11163" w:rsidRPr="004567E2">
              <w:rPr>
                <w:rFonts w:ascii="Times New Roman" w:hAnsi="Times New Roman" w:cs="Times New Roman"/>
                <w:sz w:val="24"/>
                <w:szCs w:val="24"/>
              </w:rPr>
              <w:br/>
              <w:t>While the algorithm for the energy efficiency and reduction of energy consumption runs in the HEMS application, the development of a platform (PF) is desired which provides common functions to enable the application to access the devices and to support the efficient development of applications. This is not only applies for the HEMS, but also for other HN services such as home security and healthcare. This Recommendation provides common requirements for the HN services to support the HEMS as the widely known HEMS is mainly considered one of the HN services. It also describes the reference architecture and the functional architecture including the functional relationship for the HEMS and the other HN services.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52" w:tooltip="Architectural overview of next generation home networks" w:history="1">
              <w:r w:rsidR="00A11163" w:rsidRPr="004567E2">
                <w:rPr>
                  <w:rStyle w:val="Hyperlink"/>
                  <w:rFonts w:ascii="Times New Roman" w:hAnsi="Times New Roman" w:cs="Times New Roman"/>
                  <w:sz w:val="24"/>
                  <w:szCs w:val="24"/>
                </w:rPr>
                <w:t>Recommendation ITU-T Y.4410/Y.2291 “Architectural overview of next generation home networks”</w:t>
              </w:r>
            </w:hyperlink>
            <w:r w:rsidR="00A11163" w:rsidRPr="004567E2">
              <w:rPr>
                <w:rFonts w:ascii="Times New Roman" w:hAnsi="Times New Roman" w:cs="Times New Roman"/>
                <w:sz w:val="24"/>
                <w:szCs w:val="24"/>
              </w:rPr>
              <w:t xml:space="preserve"> provides an architecture overview of next generation home network (NGHN). In line with [ITU-T Y.2011] and [ITU-T Y.2012] principles, an implementation-independent approach is adopted.</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53" w:tooltip="Overview of application programming interfaces and protocols for the machine-to-machine service layer" w:history="1">
              <w:r w:rsidR="00A11163" w:rsidRPr="004567E2">
                <w:rPr>
                  <w:rStyle w:val="Hyperlink"/>
                  <w:rFonts w:ascii="Times New Roman" w:hAnsi="Times New Roman" w:cs="Times New Roman"/>
                  <w:sz w:val="24"/>
                  <w:szCs w:val="24"/>
                </w:rPr>
                <w:t>Recommendation ITU-T Y.4411/Q.3052 “Overview of application programming interfaces and protocols for the machine-to-machine service layer”</w:t>
              </w:r>
            </w:hyperlink>
            <w:r w:rsidR="00A11163" w:rsidRPr="004567E2">
              <w:rPr>
                <w:rFonts w:ascii="Times New Roman" w:hAnsi="Times New Roman" w:cs="Times New Roman"/>
                <w:sz w:val="24"/>
                <w:szCs w:val="24"/>
              </w:rPr>
              <w:t xml:space="preserve"> describes an overview of APIs and protocols for the M2M service layer and the related API and protocol requirements. It describes the component based M2M reference model, including the reference points of the M2M service layer. APIs and protocols for M2M are introduced, including existing APIs and protocols for M2M service layer and M2M protocol structure and stacks. Finally, general requirements of APIs and protocols with respect to the M2M service layer are described.</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sz w:val="24"/>
                <w:szCs w:val="24"/>
              </w:rPr>
            </w:pPr>
            <w:hyperlink r:id="rId754" w:history="1">
              <w:r w:rsidR="00A11163" w:rsidRPr="004567E2">
                <w:rPr>
                  <w:rStyle w:val="Hyperlink"/>
                  <w:rFonts w:ascii="Times New Roman" w:hAnsi="Times New Roman" w:cs="Times New Roman"/>
                  <w:sz w:val="24"/>
                  <w:szCs w:val="24"/>
                </w:rPr>
                <w:t>Recommendation ITU-T Y.4412/F.747.8 “Requirements and reference architecture for audience-selectable media service framework in the IoT environment”</w:t>
              </w:r>
            </w:hyperlink>
            <w:r w:rsidR="00A11163" w:rsidRPr="004567E2">
              <w:rPr>
                <w:rFonts w:ascii="Times New Roman" w:hAnsi="Times New Roman" w:cs="Times New Roman"/>
                <w:sz w:val="24"/>
                <w:szCs w:val="24"/>
              </w:rPr>
              <w:t xml:space="preserve"> describes requirements and reference architecture for audience-selectable media ASM service framework.</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sz w:val="24"/>
                <w:szCs w:val="24"/>
              </w:rPr>
            </w:pPr>
            <w:hyperlink r:id="rId755" w:tooltip="Requirements and reference architecture of the machine-to-machine service layer" w:history="1">
              <w:r w:rsidR="00A11163" w:rsidRPr="004567E2">
                <w:rPr>
                  <w:rStyle w:val="Hyperlink"/>
                  <w:rFonts w:ascii="Times New Roman" w:hAnsi="Times New Roman" w:cs="Times New Roman"/>
                  <w:sz w:val="24"/>
                  <w:szCs w:val="24"/>
                </w:rPr>
                <w:t>Recommendation ITU-T Y.4413/F.748.5 “Requirements and reference architecture of the machine-to-machine service layer”</w:t>
              </w:r>
            </w:hyperlink>
            <w:r w:rsidR="00A11163" w:rsidRPr="004567E2">
              <w:rPr>
                <w:rFonts w:ascii="Times New Roman" w:hAnsi="Times New Roman" w:cs="Times New Roman"/>
                <w:sz w:val="24"/>
                <w:szCs w:val="24"/>
              </w:rPr>
              <w:t xml:space="preserve"> identifies requirements of the M2M service layer, which are common to all M2M verticals or specific to e-health application support, and provides an architectural framework of the M2M service layer.</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sz w:val="24"/>
                <w:szCs w:val="24"/>
              </w:rPr>
            </w:pPr>
            <w:hyperlink r:id="rId756" w:tooltip="Web of things service architecture" w:history="1">
              <w:r w:rsidR="00A11163" w:rsidRPr="004567E2">
                <w:rPr>
                  <w:rStyle w:val="Hyperlink"/>
                  <w:rFonts w:ascii="Times New Roman" w:hAnsi="Times New Roman" w:cs="Times New Roman"/>
                  <w:sz w:val="24"/>
                  <w:szCs w:val="24"/>
                </w:rPr>
                <w:t>Recommendation ITU-T Y.4414/H.623 “Web of things service architecture”</w:t>
              </w:r>
            </w:hyperlink>
            <w:r w:rsidR="00A11163" w:rsidRPr="004567E2">
              <w:rPr>
                <w:rFonts w:ascii="Times New Roman" w:hAnsi="Times New Roman" w:cs="Times New Roman"/>
                <w:sz w:val="24"/>
                <w:szCs w:val="24"/>
              </w:rPr>
              <w:t xml:space="preserve"> defines a WoT service architecture that can encompass service discovery, accessibility, sharing and mash-up for IoT devices and services with Web technologies. It includes the overview of WoT service, functional architecture of WoT service and WoT service/resource functions.</w:t>
            </w:r>
            <w:r w:rsidR="00A11163" w:rsidRPr="004567E2">
              <w:rPr>
                <w:rFonts w:ascii="Times New Roman" w:hAnsi="Times New Roman" w:cs="Times New Roman"/>
                <w:sz w:val="24"/>
                <w:szCs w:val="24"/>
              </w:rPr>
              <w:br/>
              <w:t>The WoT service architecture supports accessibility and reusability across IoT resources, and supports portability across heterogeneous network environment. Therefore, this Recommendation is applicable to seamless and interoperable IoT services with information interaction and exchange over physical IoT devices.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57" w:history="1">
              <w:r w:rsidR="00A11163" w:rsidRPr="004567E2">
                <w:rPr>
                  <w:rStyle w:val="Hyperlink"/>
                  <w:rFonts w:ascii="Times New Roman" w:hAnsi="Times New Roman" w:cs="Times New Roman"/>
                  <w:sz w:val="24"/>
                  <w:szCs w:val="24"/>
                </w:rPr>
                <w:t>Recommendation ITU-T Y.4415 “Architecture of web of objects based virtual home network”</w:t>
              </w:r>
            </w:hyperlink>
            <w:r w:rsidR="00A11163" w:rsidRPr="004567E2">
              <w:rPr>
                <w:rFonts w:ascii="Times New Roman" w:hAnsi="Times New Roman" w:cs="Times New Roman"/>
                <w:sz w:val="24"/>
                <w:szCs w:val="24"/>
              </w:rPr>
              <w:t xml:space="preserve"> describes an architecture of WoO based VHN (WVHN) in accordance with [ITU-T H.622.2] and [ITU-T Y.4452]. The service capabilities </w:t>
            </w:r>
            <w:r w:rsidR="00A11163" w:rsidRPr="004567E2">
              <w:rPr>
                <w:rFonts w:ascii="Times New Roman" w:hAnsi="Times New Roman" w:cs="Times New Roman"/>
                <w:sz w:val="24"/>
                <w:szCs w:val="24"/>
              </w:rPr>
              <w:lastRenderedPageBreak/>
              <w:t>and framework of virtual home network (VHN) are identified in the ITU-T Recommendation [ITU-T H.622.2]. [ITU-T Y.4452] identifies the functional framework of Web of Objects (WoO) to deploy Internet of things (IoT) services in the World Wide Web environment.</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58" w:history="1">
              <w:r w:rsidR="00A11163" w:rsidRPr="004567E2">
                <w:rPr>
                  <w:rStyle w:val="Hyperlink"/>
                  <w:rFonts w:ascii="Times New Roman" w:hAnsi="Times New Roman" w:cs="Times New Roman"/>
                  <w:sz w:val="24"/>
                  <w:szCs w:val="24"/>
                </w:rPr>
                <w:t>Recommendation ITU-T Y.4416 “Architecture of the Internet of things based on next generation network evolution”</w:t>
              </w:r>
            </w:hyperlink>
            <w:r w:rsidR="00A11163" w:rsidRPr="004567E2">
              <w:rPr>
                <w:rFonts w:ascii="Times New Roman" w:hAnsi="Times New Roman" w:cs="Times New Roman"/>
                <w:sz w:val="24"/>
                <w:szCs w:val="24"/>
              </w:rPr>
              <w:t xml:space="preserve"> provides a description of the architecture of the Internet of things (IoT) based on next generation network evolution (NGNe), taking account of the IoT reference model specified in Recommendation ITU-T Y.4000/Y.2060, the IoT common requirements specified in Recommendations ITU-T Y.4100/Y.2066, and the IoT functional framework and capabilities specified in Recommendation ITU-T Y.4401/Y.2068. It describes extensions to NGNe functional entities, reference points and NGNe functional components, and enhancement to NGNe capabilities as described in ITU-T Y.2012, and other related Recommendations in order to support the IoT.</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59" w:history="1">
              <w:r w:rsidR="00A11163" w:rsidRPr="004567E2">
                <w:rPr>
                  <w:rStyle w:val="Hyperlink"/>
                  <w:rFonts w:ascii="Times New Roman" w:hAnsi="Times New Roman" w:cs="Times New Roman"/>
                  <w:sz w:val="24"/>
                  <w:szCs w:val="24"/>
                </w:rPr>
                <w:t>Recommendation ITU-T Y.4417 “Framework of self-organization network in the IoT environments”</w:t>
              </w:r>
            </w:hyperlink>
            <w:r w:rsidR="00A11163" w:rsidRPr="004567E2">
              <w:rPr>
                <w:rFonts w:ascii="Times New Roman" w:hAnsi="Times New Roman" w:cs="Times New Roman"/>
                <w:sz w:val="24"/>
                <w:szCs w:val="24"/>
              </w:rPr>
              <w:t xml:space="preserve"> specifies a framework of self-organization networking for IoT in an aspect of communications. ITU-T Y.4417 presents the concepts, characteristics, architectures, requirements, and functionalities of self-organization networking. Self-organization networking is an autonomous networking established by each device, where the device effectively interacts with its peers and performs self-control. In IoT environments, self-organization networking is required when the heterogeneous devices belong to infrastructure-unsupported IoT area networks.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sz w:val="24"/>
                <w:szCs w:val="24"/>
              </w:rPr>
            </w:pPr>
            <w:hyperlink r:id="rId760" w:history="1">
              <w:r w:rsidR="00A11163" w:rsidRPr="004567E2">
                <w:rPr>
                  <w:rStyle w:val="Hyperlink"/>
                  <w:rFonts w:ascii="Times New Roman" w:hAnsi="Times New Roman" w:cs="Times New Roman"/>
                  <w:sz w:val="24"/>
                  <w:szCs w:val="24"/>
                </w:rPr>
                <w:t>Recommendation ITU-T Y.4418 “Functional architecture of gateway for Internet of things applications”</w:t>
              </w:r>
            </w:hyperlink>
            <w:r w:rsidR="00A11163" w:rsidRPr="004567E2">
              <w:rPr>
                <w:rFonts w:ascii="Times New Roman" w:hAnsi="Times New Roman" w:cs="Times New Roman"/>
                <w:sz w:val="24"/>
                <w:szCs w:val="24"/>
              </w:rPr>
              <w:t xml:space="preserve"> provides the functional architecture of gateway for IoT applications, including the gateway's functional entities, relevant reference points and logical flows.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sz w:val="24"/>
                <w:szCs w:val="24"/>
              </w:rPr>
            </w:pPr>
            <w:hyperlink r:id="rId761" w:tooltip="Overview of Smart Farming based on networks" w:history="1">
              <w:r w:rsidR="00A11163" w:rsidRPr="004567E2">
                <w:rPr>
                  <w:rStyle w:val="Hyperlink"/>
                  <w:rFonts w:ascii="Times New Roman" w:hAnsi="Times New Roman" w:cs="Times New Roman"/>
                  <w:sz w:val="24"/>
                  <w:szCs w:val="24"/>
                </w:rPr>
                <w:t>Recommendation ITU-T Y.4450/Y.2238 “Overview of Smart Farming based on networks”</w:t>
              </w:r>
            </w:hyperlink>
            <w:r w:rsidR="00A11163" w:rsidRPr="004567E2">
              <w:rPr>
                <w:rFonts w:ascii="Times New Roman" w:hAnsi="Times New Roman" w:cs="Times New Roman"/>
                <w:sz w:val="24"/>
                <w:szCs w:val="24"/>
              </w:rPr>
              <w:t xml:space="preserve"> considers the actualized convergence service for agriculture, namely Smart Farming, as a solution to cope with various problems caused by severe </w:t>
            </w:r>
            <w:r w:rsidR="00A11163" w:rsidRPr="004567E2">
              <w:rPr>
                <w:rFonts w:ascii="Times New Roman" w:hAnsi="Times New Roman" w:cs="Times New Roman"/>
                <w:sz w:val="24"/>
                <w:szCs w:val="24"/>
              </w:rPr>
              <w:lastRenderedPageBreak/>
              <w:t>conditions or the gap of viewpoints between people engaged in farming and IT engineers. In particular, this Recommendation defines service capabilities for Smart Farming, provides a reference model for Smart Farming, and identifies network capabilities required to produce an infrastructure which supports Smart Farming.</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62" w:tooltip="Framework of constrained device networking in the IoT environments" w:history="1">
              <w:r w:rsidR="00A11163" w:rsidRPr="004567E2">
                <w:rPr>
                  <w:rStyle w:val="Hyperlink"/>
                  <w:rFonts w:ascii="Times New Roman" w:hAnsi="Times New Roman" w:cs="Times New Roman"/>
                  <w:sz w:val="24"/>
                  <w:szCs w:val="24"/>
                </w:rPr>
                <w:t>Recommendation ITU-T Y.4451 “Framework of constrained device networking in the IoT environments”</w:t>
              </w:r>
            </w:hyperlink>
            <w:r w:rsidR="00A11163" w:rsidRPr="004567E2">
              <w:rPr>
                <w:rFonts w:ascii="Times New Roman" w:hAnsi="Times New Roman" w:cs="Times New Roman"/>
                <w:sz w:val="24"/>
                <w:szCs w:val="24"/>
              </w:rPr>
              <w:t xml:space="preserve"> specifies the framework of constrained device networking in the Internet of things (IoT) environments in an aspect of the communications of IoT device. This Recommendation describes the concept of constrained device networking in the IoT environments and communication of constrained devices. It also describes network architecture and mechanisms of constrained device networking.</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63" w:tooltip="Functional framework of web of objects" w:history="1">
              <w:r w:rsidR="00A11163" w:rsidRPr="004567E2">
                <w:rPr>
                  <w:rStyle w:val="Hyperlink"/>
                  <w:rFonts w:ascii="Times New Roman" w:hAnsi="Times New Roman" w:cs="Times New Roman"/>
                  <w:sz w:val="24"/>
                  <w:szCs w:val="24"/>
                </w:rPr>
                <w:t>Recommendation ITU-T Y.4452 “Functional framework of web of objects”</w:t>
              </w:r>
            </w:hyperlink>
            <w:r w:rsidR="00A11163" w:rsidRPr="004567E2">
              <w:rPr>
                <w:rFonts w:ascii="Times New Roman" w:hAnsi="Times New Roman" w:cs="Times New Roman"/>
                <w:sz w:val="24"/>
                <w:szCs w:val="24"/>
              </w:rPr>
              <w:t xml:space="preserve"> provides the functional framework of Web of Objects (WoO) including the concept, the reference model, functional capabilities and information models.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64" w:tooltip="Adaptive software framework for Internet of things devices" w:history="1">
              <w:r w:rsidR="00A11163" w:rsidRPr="004567E2">
                <w:rPr>
                  <w:rStyle w:val="Hyperlink"/>
                  <w:rFonts w:ascii="Times New Roman" w:hAnsi="Times New Roman" w:cs="Times New Roman"/>
                  <w:sz w:val="24"/>
                  <w:szCs w:val="24"/>
                </w:rPr>
                <w:t>Recommendation ITU-T Y.4453 “Adaptive software framework for Internet of things devices”</w:t>
              </w:r>
            </w:hyperlink>
            <w:r w:rsidR="00A11163" w:rsidRPr="004567E2">
              <w:rPr>
                <w:rFonts w:ascii="Times New Roman" w:hAnsi="Times New Roman" w:cs="Times New Roman"/>
                <w:sz w:val="24"/>
                <w:szCs w:val="24"/>
              </w:rPr>
              <w:t xml:space="preserve"> addresses the concept of the adaptive software framework (ASF), identifies high-level requirements, and provides a reference functional architecture for the IoT devices. The ASF is a framework to manage and control adaptive IoT applications in real-time and dynamic way, and enables optimal QoS performance. The adaptive IoT application is an IoT application where its performance is changed by altering system resource allocation (e.g., the number of CPU cores, GPU utilization, network bandwidth, etc.). Therefore, the ASF can provide optimal applications working on IoT devices. And, the ASF is based on the IoT reference model [ITU-T Y.4000].</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sz w:val="24"/>
                <w:szCs w:val="24"/>
              </w:rPr>
            </w:pPr>
            <w:hyperlink r:id="rId765" w:history="1">
              <w:r w:rsidR="00A11163" w:rsidRPr="004567E2">
                <w:rPr>
                  <w:rStyle w:val="Hyperlink"/>
                  <w:rFonts w:ascii="Times New Roman" w:hAnsi="Times New Roman" w:cs="Times New Roman"/>
                  <w:sz w:val="24"/>
                  <w:szCs w:val="24"/>
                </w:rPr>
                <w:t>Recommendation ITU-T Y.4456 “Requirements and Functional Architecture for Smart Parking Lot in Smart City”</w:t>
              </w:r>
            </w:hyperlink>
            <w:r w:rsidR="00A11163" w:rsidRPr="004567E2">
              <w:rPr>
                <w:rFonts w:ascii="Times New Roman" w:hAnsi="Times New Roman" w:cs="Times New Roman"/>
                <w:sz w:val="24"/>
                <w:szCs w:val="24"/>
              </w:rPr>
              <w:t xml:space="preserve"> specifies requirements and functional architecture for Smart Parking Lot.</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66" w:history="1">
              <w:r w:rsidR="00A11163" w:rsidRPr="004567E2">
                <w:rPr>
                  <w:rStyle w:val="Hyperlink"/>
                  <w:rFonts w:ascii="Times New Roman" w:hAnsi="Times New Roman" w:cs="Times New Roman"/>
                  <w:sz w:val="24"/>
                  <w:szCs w:val="24"/>
                </w:rPr>
                <w:t>Recommendation ITU-T Y.4551/F.771 “Service description and requirements for multimedia information access triggered by tag-based identification”</w:t>
              </w:r>
            </w:hyperlink>
            <w:r w:rsidR="00A11163" w:rsidRPr="004567E2">
              <w:rPr>
                <w:rFonts w:ascii="Times New Roman" w:hAnsi="Times New Roman" w:cs="Times New Roman"/>
                <w:sz w:val="24"/>
                <w:szCs w:val="24"/>
              </w:rPr>
              <w:t xml:space="preserve"> specifies a high-level functional model, a service description and requirements for multimedia information access triggered by tag-based identification. The scope of this Recommendation is limited to those applications and services that have both multimedia and tag-based characteristics.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67" w:tooltip="Application support models of the Internet of things" w:history="1">
              <w:r w:rsidR="00A11163" w:rsidRPr="004567E2">
                <w:rPr>
                  <w:rStyle w:val="Hyperlink"/>
                  <w:rFonts w:ascii="Times New Roman" w:hAnsi="Times New Roman" w:cs="Times New Roman"/>
                  <w:sz w:val="24"/>
                  <w:szCs w:val="24"/>
                </w:rPr>
                <w:t>Recommendation ITU-T Y.4552/Y.2078 “Application support models of the Internet of things”</w:t>
              </w:r>
            </w:hyperlink>
            <w:r w:rsidR="00A11163" w:rsidRPr="004567E2">
              <w:rPr>
                <w:rFonts w:ascii="Times New Roman" w:hAnsi="Times New Roman" w:cs="Times New Roman"/>
                <w:sz w:val="24"/>
                <w:szCs w:val="24"/>
              </w:rPr>
              <w:t xml:space="preserve"> provides application support models of Internet of Things (IoT). It includes basis of IoT application support models, the configurable application support model, the adaptable application support model and the reliable application support model. The three application support models are described in functional view, implementation view and deployment view, in order to identify, respectively, the configurable capabilities, the adaptable capabilities and the reliable capabilities for support of IoT applications having some characteristic requirements.</w:t>
            </w:r>
            <w:r w:rsidR="00A11163" w:rsidRPr="004567E2">
              <w:rPr>
                <w:rFonts w:ascii="Times New Roman" w:hAnsi="Times New Roman" w:cs="Times New Roman"/>
                <w:sz w:val="24"/>
                <w:szCs w:val="24"/>
              </w:rPr>
              <w:br/>
              <w:t xml:space="preserve">This Recommendation describes the IoT configurable capabilities that extend the IoT basic capabilities specified in [ITU-T Y.2068] in order to enable the IoT applications to configure the IoT capabilities based on their characteristic requirements. </w:t>
            </w:r>
            <w:r w:rsidR="00A11163" w:rsidRPr="004567E2">
              <w:rPr>
                <w:rFonts w:ascii="Times New Roman" w:hAnsi="Times New Roman" w:cs="Times New Roman"/>
                <w:sz w:val="24"/>
                <w:szCs w:val="24"/>
              </w:rPr>
              <w:br/>
              <w:t xml:space="preserve">This Recommendation describes the IoT adaptable capabilities that extend the IoT basic capabilities specified in [ITU-T Y.2068] in order to enable the IoT applications to adapt to the IoT capabilities based on their characteristic requirements. </w:t>
            </w:r>
            <w:r w:rsidR="00A11163" w:rsidRPr="004567E2">
              <w:rPr>
                <w:rFonts w:ascii="Times New Roman" w:hAnsi="Times New Roman" w:cs="Times New Roman"/>
                <w:sz w:val="24"/>
                <w:szCs w:val="24"/>
              </w:rPr>
              <w:br/>
              <w:t>This Recommendation describes the IoT reliable capabilities that extend the IoT basic capabilities specified in [ITU-T Y.2068] in order to support the IoT applications by the IoT capabilities with required degrees of reliability for fulfilling their characteristic requirements.</w:t>
            </w:r>
            <w:r w:rsidR="00A11163" w:rsidRPr="004567E2">
              <w:rPr>
                <w:rFonts w:ascii="Times New Roman" w:hAnsi="Times New Roman" w:cs="Times New Roman"/>
                <w:sz w:val="24"/>
                <w:szCs w:val="24"/>
              </w:rPr>
              <w:br/>
              <w:t>Use cases from the smart home environment give examples about the usage of the IoT application support models.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68" w:tooltip="Requirements of smartphone as sink node for IoT applications and services" w:history="1">
              <w:r w:rsidR="00A11163" w:rsidRPr="004567E2">
                <w:rPr>
                  <w:rStyle w:val="Hyperlink"/>
                  <w:rFonts w:ascii="Times New Roman" w:hAnsi="Times New Roman" w:cs="Times New Roman"/>
                  <w:sz w:val="24"/>
                  <w:szCs w:val="24"/>
                </w:rPr>
                <w:t>Recommendation ITU-T Y.4553 “Requirements of smartphone as sink node for IoT applications and services”</w:t>
              </w:r>
            </w:hyperlink>
            <w:r w:rsidR="00A11163" w:rsidRPr="004567E2">
              <w:rPr>
                <w:rFonts w:ascii="Times New Roman" w:hAnsi="Times New Roman" w:cs="Times New Roman"/>
                <w:sz w:val="24"/>
                <w:szCs w:val="24"/>
              </w:rPr>
              <w:t xml:space="preserve"> provides common Requirements of a smartphone working as a sink node (SPSN) for IoT applications and services. This Recommendation clarifies the concept of a sink node in IoT domain, and identifies the characteristics, work modes and the high level functional requirements of the SPSN. The use cases are also provided in appendix.</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69" w:history="1">
              <w:r w:rsidR="00A11163" w:rsidRPr="004567E2">
                <w:rPr>
                  <w:rStyle w:val="Hyperlink"/>
                  <w:rFonts w:ascii="Times New Roman" w:hAnsi="Times New Roman" w:cs="Times New Roman"/>
                  <w:sz w:val="24"/>
                  <w:szCs w:val="24"/>
                </w:rPr>
                <w:t>Recommendation ITU-T Y.4455 “Reference architecture for IoT network service capability exposure”</w:t>
              </w:r>
            </w:hyperlink>
            <w:r w:rsidR="00A11163" w:rsidRPr="004567E2">
              <w:rPr>
                <w:rFonts w:ascii="Times New Roman" w:hAnsi="Times New Roman" w:cs="Times New Roman"/>
                <w:sz w:val="24"/>
                <w:szCs w:val="24"/>
              </w:rPr>
              <w:t xml:space="preserve"> introduces IoT network capability exposure (IoT NCE). The IoT NCE is a functional entity in network domain, and facilitates the Internet of things (IoT) applications and services to make full use of capabilities of their underlying networks. The IoT NCE can optimize user experience, improve network efficiency and expose network capability in order to optimize IoT applications and services. This Recommendation clarifies the concept of the IoT NCE, identifies its general characteristics and common requirements, and provides the reference architecture and relevant capabilities for the IoT NCE. Additionally, it provides several use cases and common procedures to illustrate the concept and the architecture of the IoT NCE.</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sz w:val="24"/>
                <w:szCs w:val="24"/>
              </w:rPr>
            </w:pPr>
            <w:hyperlink r:id="rId770" w:history="1">
              <w:r w:rsidR="00A11163" w:rsidRPr="004567E2">
                <w:rPr>
                  <w:rStyle w:val="Hyperlink"/>
                  <w:rFonts w:ascii="Times New Roman" w:hAnsi="Times New Roman" w:cs="Times New Roman"/>
                  <w:sz w:val="24"/>
                  <w:szCs w:val="24"/>
                </w:rPr>
                <w:t>Recommendation ITU-T Y.4457 “Architectural framework for transportation safety services”</w:t>
              </w:r>
            </w:hyperlink>
            <w:r w:rsidR="00A11163" w:rsidRPr="004567E2">
              <w:rPr>
                <w:rFonts w:ascii="Times New Roman" w:hAnsi="Times New Roman" w:cs="Times New Roman"/>
                <w:sz w:val="24"/>
                <w:szCs w:val="24"/>
              </w:rPr>
              <w:t xml:space="preserve"> describes a transportation safety management model and an architectural framework for transportation safety services based on the IoT reference model. Accidents and disasters caused by various means of transportation affect many lives and properties. Transportation safety can be influenced by defective vehicles (e.g., cars, trains, ships), environmental status (e.g., wind, snow, low temperatures), disruption to transportation infrastructures (e.g., bridges, tunnels, roads) and human error. Transportation safety services based on Internet of things (IoT) technologies can reduce the occurrence of accidents and disasters, and save the lives and damage to properties.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71" w:history="1">
              <w:r w:rsidR="00A11163" w:rsidRPr="004567E2">
                <w:rPr>
                  <w:rStyle w:val="Hyperlink"/>
                  <w:rFonts w:ascii="Times New Roman" w:hAnsi="Times New Roman" w:cs="Times New Roman"/>
                  <w:sz w:val="24"/>
                  <w:szCs w:val="24"/>
                </w:rPr>
                <w:t>Recommendation ITU-T Y.4500.1 “oneM2M- Functional Architecture”</w:t>
              </w:r>
            </w:hyperlink>
            <w:r w:rsidR="00A11163" w:rsidRPr="004567E2">
              <w:rPr>
                <w:rFonts w:ascii="Times New Roman" w:hAnsi="Times New Roman" w:cs="Times New Roman"/>
                <w:sz w:val="24"/>
                <w:szCs w:val="24"/>
              </w:rPr>
              <w:t xml:space="preserve"> harmonizes and specifies the end-to-end oneM2M functional architecture in the M2M Service Layer.</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72" w:history="1">
              <w:r w:rsidR="00A11163" w:rsidRPr="004567E2">
                <w:rPr>
                  <w:rStyle w:val="Hyperlink"/>
                  <w:rFonts w:ascii="Times New Roman" w:hAnsi="Times New Roman" w:cs="Times New Roman"/>
                  <w:sz w:val="24"/>
                  <w:szCs w:val="24"/>
                </w:rPr>
                <w:t>Recommendation ITU-T Y.4500.4 “oneM2M- Service Layer Core Protocol Specification“</w:t>
              </w:r>
            </w:hyperlink>
            <w:r w:rsidR="00A11163" w:rsidRPr="004567E2">
              <w:rPr>
                <w:rFonts w:ascii="Times New Roman" w:hAnsi="Times New Roman" w:cs="Times New Roman"/>
                <w:sz w:val="24"/>
                <w:szCs w:val="24"/>
              </w:rPr>
              <w:t xml:space="preserve"> specifies the communication protocol(s) for oneM2M compliant Systems, M2M Applications, and/or other M2M systems.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Style w:val="Hyperlink"/>
                <w:rFonts w:ascii="Times New Roman" w:hAnsi="Times New Roman" w:cs="Times New Roman"/>
                <w:color w:val="auto"/>
                <w:sz w:val="24"/>
                <w:szCs w:val="24"/>
                <w:u w:val="none"/>
              </w:rPr>
            </w:pPr>
            <w:hyperlink r:id="rId773" w:history="1">
              <w:r w:rsidR="00A11163" w:rsidRPr="004567E2">
                <w:rPr>
                  <w:rStyle w:val="Hyperlink"/>
                  <w:rFonts w:ascii="Times New Roman" w:hAnsi="Times New Roman" w:cs="Times New Roman"/>
                  <w:sz w:val="24"/>
                  <w:szCs w:val="24"/>
                </w:rPr>
                <w:t>Recommendation ITU-T Y.4500.5 “oneM2M- Management enablement (OMA)”</w:t>
              </w:r>
            </w:hyperlink>
            <w:r w:rsidR="00A11163" w:rsidRPr="004567E2">
              <w:rPr>
                <w:rFonts w:ascii="Times New Roman" w:hAnsi="Times New Roman" w:cs="Times New Roman"/>
                <w:sz w:val="24"/>
                <w:szCs w:val="24"/>
              </w:rPr>
              <w:t xml:space="preserve"> specifies the usage of OMA DM and OMA LwM2M resources and the corresponding message flows including normal cases as well as error cases to fulfil the oneM2M management requirements.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74" w:history="1">
              <w:r w:rsidR="00A11163" w:rsidRPr="004567E2">
                <w:rPr>
                  <w:rStyle w:val="Hyperlink"/>
                  <w:rFonts w:ascii="Times New Roman" w:hAnsi="Times New Roman" w:cs="Times New Roman"/>
                  <w:sz w:val="24"/>
                  <w:szCs w:val="24"/>
                </w:rPr>
                <w:t>Recommendation ITU-T Y.4500.6 “oneM2M Management enablement (BBF)”</w:t>
              </w:r>
            </w:hyperlink>
            <w:r w:rsidR="00A11163" w:rsidRPr="004567E2">
              <w:rPr>
                <w:rFonts w:ascii="Times New Roman" w:hAnsi="Times New Roman" w:cs="Times New Roman"/>
                <w:sz w:val="24"/>
                <w:szCs w:val="24"/>
              </w:rPr>
              <w:t xml:space="preserve"> specifies the usage of the BBF TR-069 protocol and the corresponding message flows including normal cases as well as error cases to fulfil the oneM2M management requirements.</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Protocol mapping between the oneM2M service layer and BBF TR-069 protocol. The Mca reference point, ms interface and la interface are possibly involved in this protocol mapping.</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Mapping between the oneM2M management related resources and the TR-069 protocol RPCs and TR-181i2 data model.</w:t>
            </w:r>
          </w:p>
          <w:p w:rsidR="00A11163" w:rsidRPr="004567E2" w:rsidRDefault="00A11163" w:rsidP="00A11163">
            <w:pPr>
              <w:pStyle w:val="ListParagraph"/>
              <w:ind w:left="0"/>
              <w:contextualSpacing w:val="0"/>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Specification of new TR-181 data model elements to fulfil oneM2M specific management requirements that cannot be currently translated.</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Style w:val="Hyperlink"/>
                <w:rFonts w:ascii="Times New Roman" w:hAnsi="Times New Roman" w:cs="Times New Roman"/>
                <w:color w:val="auto"/>
                <w:sz w:val="24"/>
                <w:szCs w:val="24"/>
                <w:u w:val="none"/>
              </w:rPr>
            </w:pPr>
            <w:hyperlink r:id="rId775" w:history="1">
              <w:r w:rsidR="00A11163" w:rsidRPr="004567E2">
                <w:rPr>
                  <w:rStyle w:val="Hyperlink"/>
                  <w:rFonts w:ascii="Times New Roman" w:hAnsi="Times New Roman" w:cs="Times New Roman"/>
                  <w:sz w:val="24"/>
                  <w:szCs w:val="24"/>
                </w:rPr>
                <w:t>Recommendation ITU-T Y.4500.8 “oneM2M- CoAP Protocol Binding“</w:t>
              </w:r>
            </w:hyperlink>
            <w:r w:rsidR="00A11163" w:rsidRPr="004567E2">
              <w:rPr>
                <w:rFonts w:ascii="Times New Roman" w:hAnsi="Times New Roman" w:cs="Times New Roman"/>
                <w:sz w:val="24"/>
                <w:szCs w:val="24"/>
              </w:rPr>
              <w:t xml:space="preserve"> covers the protocol specific part of communication protocol used by oneM2M compliant systems as 'CoAP binding'.</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76" w:history="1">
              <w:r w:rsidR="00A11163" w:rsidRPr="004567E2">
                <w:rPr>
                  <w:rStyle w:val="Hyperlink"/>
                  <w:rFonts w:ascii="Times New Roman" w:hAnsi="Times New Roman" w:cs="Times New Roman"/>
                  <w:sz w:val="24"/>
                  <w:szCs w:val="24"/>
                </w:rPr>
                <w:t>Recommendation ITU-T Y.4500.9 “oneM2M- HTTP Protocol Binding”</w:t>
              </w:r>
            </w:hyperlink>
            <w:r w:rsidR="00A11163" w:rsidRPr="004567E2">
              <w:rPr>
                <w:rFonts w:ascii="Times New Roman" w:hAnsi="Times New Roman" w:cs="Times New Roman"/>
                <w:sz w:val="24"/>
                <w:szCs w:val="24"/>
              </w:rPr>
              <w:t xml:space="preserve"> specifies the protocol specific part of communication protocol used by oneM2M compliant systems as RESTful HTTP binding. The scope of the present document is (not limited to as shown below):</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Binding oneM2M Protocol primitive types to HTTP method.</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lastRenderedPageBreak/>
              <w:t>•</w:t>
            </w:r>
            <w:r w:rsidRPr="004567E2">
              <w:rPr>
                <w:rFonts w:ascii="Times New Roman" w:hAnsi="Times New Roman" w:cs="Times New Roman"/>
                <w:sz w:val="24"/>
                <w:szCs w:val="24"/>
              </w:rPr>
              <w:tab/>
              <w:t>Binding oneM2M response status codes (successful/unsuccessful) to HTTP response codes.</w:t>
            </w:r>
          </w:p>
          <w:p w:rsidR="00A11163" w:rsidRPr="004567E2" w:rsidRDefault="00A11163" w:rsidP="00A11163">
            <w:pPr>
              <w:pStyle w:val="ListParagraph"/>
              <w:ind w:left="0"/>
              <w:contextualSpacing w:val="0"/>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w:t>
            </w:r>
            <w:r w:rsidRPr="004567E2">
              <w:rPr>
                <w:rFonts w:ascii="Times New Roman" w:hAnsi="Times New Roman" w:cs="Times New Roman"/>
                <w:sz w:val="24"/>
                <w:szCs w:val="24"/>
              </w:rPr>
              <w:tab/>
              <w:t>Binding oneM2M RESTful resources to HTTP resources.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77" w:history="1">
              <w:r w:rsidR="00A11163" w:rsidRPr="004567E2">
                <w:rPr>
                  <w:rStyle w:val="Hyperlink"/>
                  <w:rFonts w:ascii="Times New Roman" w:hAnsi="Times New Roman" w:cs="Times New Roman"/>
                  <w:sz w:val="24"/>
                  <w:szCs w:val="24"/>
                </w:rPr>
                <w:t>Recommendation ITU-T Y.4500.10 “oneM2M- MQTT Protocol Binding”</w:t>
              </w:r>
            </w:hyperlink>
            <w:r w:rsidR="00A11163" w:rsidRPr="004567E2">
              <w:rPr>
                <w:rFonts w:ascii="Times New Roman" w:hAnsi="Times New Roman" w:cs="Times New Roman"/>
                <w:sz w:val="24"/>
                <w:szCs w:val="24"/>
              </w:rPr>
              <w:t xml:space="preserve"> specifies the binding of Mca and Mcc primitives (message flows), defined in the Service Layer Core Protocol, onto the MQTT transport protocol.</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78" w:history="1">
              <w:r w:rsidR="00A11163" w:rsidRPr="004567E2">
                <w:rPr>
                  <w:rStyle w:val="Hyperlink"/>
                  <w:rFonts w:ascii="Times New Roman" w:hAnsi="Times New Roman" w:cs="Times New Roman"/>
                  <w:sz w:val="24"/>
                  <w:szCs w:val="24"/>
                </w:rPr>
                <w:t>Recommendation ITU-T Y.4500.11 "oneM2M- Common Terminology”</w:t>
              </w:r>
            </w:hyperlink>
            <w:r w:rsidR="00A11163" w:rsidRPr="004567E2">
              <w:rPr>
                <w:rFonts w:ascii="Times New Roman" w:hAnsi="Times New Roman" w:cs="Times New Roman"/>
                <w:sz w:val="24"/>
                <w:szCs w:val="24"/>
              </w:rPr>
              <w:t xml:space="preserve"> contains a collection of specialist technical terms, definitions and abbreviations referenced within the oneM2M specifications.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79" w:history="1">
              <w:r w:rsidR="00A11163" w:rsidRPr="004567E2">
                <w:rPr>
                  <w:rStyle w:val="Hyperlink"/>
                  <w:rFonts w:ascii="Times New Roman" w:hAnsi="Times New Roman" w:cs="Times New Roman"/>
                  <w:sz w:val="24"/>
                  <w:szCs w:val="24"/>
                </w:rPr>
                <w:t>Recommendation ITU-T Y.4500.12 “oneM2M Base Ontology”</w:t>
              </w:r>
            </w:hyperlink>
            <w:r w:rsidR="00A11163" w:rsidRPr="004567E2">
              <w:rPr>
                <w:rFonts w:ascii="Times New Roman" w:hAnsi="Times New Roman" w:cs="Times New Roman"/>
                <w:sz w:val="24"/>
                <w:szCs w:val="24"/>
              </w:rPr>
              <w:t xml:space="preserve"> contains provides normative and informative specifications for the oneM2M Base Ontology and its instantiation into oneM2M resources.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80" w:history="1">
              <w:r w:rsidR="00A11163" w:rsidRPr="004567E2">
                <w:rPr>
                  <w:rStyle w:val="Hyperlink"/>
                  <w:rFonts w:ascii="Times New Roman" w:hAnsi="Times New Roman" w:cs="Times New Roman"/>
                  <w:sz w:val="24"/>
                  <w:szCs w:val="24"/>
                </w:rPr>
                <w:t>Recommendation ITU-T Y.4500.13/Q.3954 “oneM2M- Interoperability Testing”</w:t>
              </w:r>
            </w:hyperlink>
            <w:r w:rsidR="00A11163" w:rsidRPr="004567E2">
              <w:rPr>
                <w:rFonts w:ascii="Times New Roman" w:hAnsi="Times New Roman" w:cs="Times New Roman"/>
                <w:sz w:val="24"/>
                <w:szCs w:val="24"/>
              </w:rPr>
              <w:t xml:space="preserve"> specifies Interoperability Test Descriptions for the oneM2M primitives.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81" w:history="1">
              <w:r w:rsidR="00A11163" w:rsidRPr="004567E2">
                <w:rPr>
                  <w:rStyle w:val="Hyperlink"/>
                  <w:rFonts w:ascii="Times New Roman" w:hAnsi="Times New Roman" w:cs="Times New Roman"/>
                  <w:sz w:val="24"/>
                  <w:szCs w:val="24"/>
                </w:rPr>
                <w:t>Recommendation ITU-T Y.4500.14 “oneM2M- LwM2M Interworking”</w:t>
              </w:r>
            </w:hyperlink>
            <w:r w:rsidR="00A11163" w:rsidRPr="004567E2">
              <w:rPr>
                <w:rFonts w:ascii="Times New Roman" w:hAnsi="Times New Roman" w:cs="Times New Roman"/>
                <w:sz w:val="24"/>
                <w:szCs w:val="24"/>
              </w:rPr>
              <w:t xml:space="preserve"> specifies the interworking capabilities of the M2M Service Layer between ASN/IN/MN CSEs and LWM2M Endpoints.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82" w:history="1">
              <w:r w:rsidR="00A11163" w:rsidRPr="004567E2">
                <w:rPr>
                  <w:rStyle w:val="Hyperlink"/>
                  <w:rFonts w:ascii="Times New Roman" w:hAnsi="Times New Roman" w:cs="Times New Roman"/>
                  <w:sz w:val="24"/>
                  <w:szCs w:val="24"/>
                </w:rPr>
                <w:t>Recommendation ITU-T Y.4500.15/Q.3955 “oneM2M- Testing framework“</w:t>
              </w:r>
            </w:hyperlink>
            <w:r w:rsidR="00A11163" w:rsidRPr="004567E2">
              <w:rPr>
                <w:rFonts w:ascii="Times New Roman" w:hAnsi="Times New Roman" w:cs="Times New Roman"/>
                <w:sz w:val="24"/>
                <w:szCs w:val="24"/>
              </w:rPr>
              <w:t xml:space="preserve"> provides methodology for development of conformance and interoperability test strategies, test systems and the resulting test specifications for oneM2M standards.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83" w:history="1">
              <w:r w:rsidR="00A11163" w:rsidRPr="004567E2">
                <w:rPr>
                  <w:rStyle w:val="Hyperlink"/>
                  <w:rFonts w:ascii="Times New Roman" w:hAnsi="Times New Roman" w:cs="Times New Roman"/>
                  <w:sz w:val="24"/>
                  <w:szCs w:val="24"/>
                </w:rPr>
                <w:t>Recommendation ITU-T Y.4500.20 “oneM2M- WebSocket Protocol Binding”</w:t>
              </w:r>
            </w:hyperlink>
            <w:r w:rsidR="00A11163" w:rsidRPr="004567E2">
              <w:rPr>
                <w:rFonts w:ascii="Times New Roman" w:hAnsi="Times New Roman" w:cs="Times New Roman"/>
                <w:sz w:val="24"/>
                <w:szCs w:val="24"/>
              </w:rPr>
              <w:t xml:space="preserve"> specifies the binding of Mca and Mcc primitives onto the WebSocket binding. It specifies:</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w:t>
            </w:r>
            <w:r w:rsidRPr="004567E2">
              <w:rPr>
                <w:rFonts w:ascii="Times New Roman" w:hAnsi="Times New Roman" w:cs="Times New Roman"/>
                <w:sz w:val="24"/>
                <w:szCs w:val="24"/>
              </w:rPr>
              <w:tab/>
              <w:t>Procedures and message formats for operating and closing of WebSocket connections.</w:t>
            </w:r>
          </w:p>
          <w:p w:rsidR="00A11163" w:rsidRPr="004567E2" w:rsidRDefault="00A11163" w:rsidP="00A11163">
            <w:pPr>
              <w:pStyle w:val="ListParagraph"/>
              <w:ind w:left="0"/>
              <w:contextualSpacing w:val="0"/>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w:t>
            </w:r>
            <w:r w:rsidRPr="004567E2">
              <w:rPr>
                <w:rFonts w:ascii="Times New Roman" w:hAnsi="Times New Roman" w:cs="Times New Roman"/>
                <w:sz w:val="24"/>
                <w:szCs w:val="24"/>
              </w:rPr>
              <w:tab/>
              <w:t>How request and response primitives are mapped into the payload of the WebSocket protocol.</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84" w:history="1">
              <w:r w:rsidR="00A11163" w:rsidRPr="004567E2">
                <w:rPr>
                  <w:rStyle w:val="Hyperlink"/>
                  <w:rFonts w:ascii="Times New Roman" w:hAnsi="Times New Roman" w:cs="Times New Roman"/>
                  <w:sz w:val="24"/>
                  <w:szCs w:val="24"/>
                </w:rPr>
                <w:t>Recommendation ITU-T Y.4500.22 “oneM2M- Field Device Configuration“</w:t>
              </w:r>
            </w:hyperlink>
            <w:r w:rsidR="00A11163" w:rsidRPr="004567E2">
              <w:rPr>
                <w:rFonts w:ascii="Times New Roman" w:hAnsi="Times New Roman" w:cs="Times New Roman"/>
                <w:sz w:val="24"/>
                <w:szCs w:val="24"/>
              </w:rPr>
              <w:t xml:space="preserve"> specifies the architectural options, resources and procedures needed to provision and maintain devices in the Field Domain in order to establish M2M Service Layer operation.</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85" w:history="1">
              <w:r w:rsidR="00A11163" w:rsidRPr="004567E2">
                <w:rPr>
                  <w:rStyle w:val="Hyperlink"/>
                  <w:rFonts w:ascii="Times New Roman" w:hAnsi="Times New Roman" w:cs="Times New Roman"/>
                  <w:sz w:val="24"/>
                  <w:szCs w:val="24"/>
                </w:rPr>
                <w:t>Recommendation ITU-T Y.4500.23 “oneM2M-Home Appliances Information Model and Mapping”</w:t>
              </w:r>
            </w:hyperlink>
            <w:r w:rsidR="00A11163" w:rsidRPr="004567E2">
              <w:rPr>
                <w:rFonts w:ascii="Times New Roman" w:hAnsi="Times New Roman" w:cs="Times New Roman"/>
                <w:sz w:val="24"/>
                <w:szCs w:val="24"/>
              </w:rPr>
              <w:t xml:space="preserve"> describes the oneM2M defined information model for home appliances, including the description of how it is mapped with other information models from external organizations. It also explains the ontology for the home domain information model.</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86" w:history="1">
              <w:r w:rsidR="00A11163" w:rsidRPr="004567E2">
                <w:rPr>
                  <w:rStyle w:val="Hyperlink"/>
                  <w:rFonts w:ascii="Times New Roman" w:hAnsi="Times New Roman" w:cs="Times New Roman"/>
                  <w:sz w:val="24"/>
                  <w:szCs w:val="24"/>
                </w:rPr>
                <w:t>Recommendation ITU-T Y.4500.32 “oneM2M – MAF and MEF Interface Specification”</w:t>
              </w:r>
            </w:hyperlink>
            <w:r w:rsidR="00A11163" w:rsidRPr="004567E2">
              <w:rPr>
                <w:rFonts w:ascii="Times New Roman" w:hAnsi="Times New Roman" w:cs="Times New Roman"/>
                <w:sz w:val="24"/>
                <w:szCs w:val="24"/>
              </w:rPr>
              <w:t xml:space="preserve"> specifies communication between the M2M Authentication Function (MAF) and MAF clients on the reference point Mmaf and between the M2M Enrolment Function (MEF) and MEF clients on the reference point Mmef.</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87" w:history="1">
              <w:r w:rsidR="00A11163" w:rsidRPr="004567E2">
                <w:rPr>
                  <w:rStyle w:val="Hyperlink"/>
                  <w:rFonts w:ascii="Times New Roman" w:hAnsi="Times New Roman" w:cs="Times New Roman"/>
                  <w:sz w:val="24"/>
                  <w:szCs w:val="24"/>
                </w:rPr>
                <w:t>Recommendation ITU-T Y.4700/F.747.2 “Deployment guidelines for ubiquitous sensor network applications and services for mitigating climate change”</w:t>
              </w:r>
            </w:hyperlink>
            <w:r w:rsidR="00A11163" w:rsidRPr="004567E2">
              <w:rPr>
                <w:rFonts w:ascii="Times New Roman" w:hAnsi="Times New Roman" w:cs="Times New Roman"/>
                <w:sz w:val="24"/>
                <w:szCs w:val="24"/>
              </w:rPr>
              <w:t xml:space="preserve"> provides deployment guidelines for ubiquitous sensor network (USN) applications and services for mitigating climate change.</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88" w:tooltip="SNMP-based sensor network management framework" w:history="1">
              <w:r w:rsidR="00A11163" w:rsidRPr="004567E2">
                <w:rPr>
                  <w:rStyle w:val="Hyperlink"/>
                  <w:rFonts w:ascii="Times New Roman" w:hAnsi="Times New Roman" w:cs="Times New Roman"/>
                  <w:sz w:val="24"/>
                  <w:szCs w:val="24"/>
                </w:rPr>
                <w:t>Recommendation ITU-T Y.4701/H.641 “SNMP-based sensor network management framework”</w:t>
              </w:r>
            </w:hyperlink>
            <w:r w:rsidR="00A11163" w:rsidRPr="004567E2">
              <w:rPr>
                <w:rFonts w:ascii="Times New Roman" w:hAnsi="Times New Roman" w:cs="Times New Roman"/>
                <w:sz w:val="24"/>
                <w:szCs w:val="24"/>
              </w:rPr>
              <w:t xml:space="preserve"> describes a sensor network management framework intended to provide integrated management functionalities for heterogeneous sensor networks using the simple network management protocol (SNMP).</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89" w:tooltip="Common requirements and capabilities of device management in the Internet of things" w:history="1">
              <w:r w:rsidR="00A11163" w:rsidRPr="004567E2">
                <w:rPr>
                  <w:rStyle w:val="Hyperlink"/>
                  <w:rFonts w:ascii="Times New Roman" w:hAnsi="Times New Roman" w:cs="Times New Roman"/>
                  <w:sz w:val="24"/>
                  <w:szCs w:val="24"/>
                </w:rPr>
                <w:t>Recommendation ITU-T Y.4702 “Common requirements and capabilities of device management in the Internet of things”</w:t>
              </w:r>
            </w:hyperlink>
            <w:r w:rsidR="00A11163" w:rsidRPr="004567E2">
              <w:rPr>
                <w:rFonts w:ascii="Times New Roman" w:hAnsi="Times New Roman" w:cs="Times New Roman"/>
                <w:sz w:val="24"/>
                <w:szCs w:val="24"/>
              </w:rPr>
              <w:t xml:space="preserve"> provides the common requirements and capabilities of device management in the Internet of Things (IoT).</w:t>
            </w:r>
            <w:r w:rsidR="00A11163" w:rsidRPr="004567E2">
              <w:rPr>
                <w:rFonts w:ascii="Times New Roman" w:hAnsi="Times New Roman" w:cs="Times New Roman"/>
                <w:sz w:val="24"/>
                <w:szCs w:val="24"/>
              </w:rPr>
              <w:br/>
              <w:t>The provided common requirements and capabilities are intended to be generally applicable in device management application scenarios.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90" w:history="1">
              <w:r w:rsidR="00A11163" w:rsidRPr="004567E2">
                <w:rPr>
                  <w:rStyle w:val="Hyperlink"/>
                  <w:rFonts w:ascii="Times New Roman" w:hAnsi="Times New Roman" w:cs="Times New Roman"/>
                  <w:sz w:val="24"/>
                  <w:szCs w:val="24"/>
                </w:rPr>
                <w:t>Recommendation ITU-T Y.4800/F.747.5 “Requirements and functional architecture of an automatic location identification system for ubiquitous sensor network applications and services”</w:t>
              </w:r>
            </w:hyperlink>
            <w:r w:rsidR="00A11163" w:rsidRPr="004567E2">
              <w:rPr>
                <w:rFonts w:ascii="Times New Roman" w:hAnsi="Times New Roman" w:cs="Times New Roman"/>
                <w:sz w:val="24"/>
                <w:szCs w:val="24"/>
              </w:rPr>
              <w:t xml:space="preserve"> defines the functional requirements, architecture </w:t>
            </w:r>
            <w:r w:rsidR="00A11163" w:rsidRPr="004567E2">
              <w:rPr>
                <w:rFonts w:ascii="Times New Roman" w:hAnsi="Times New Roman" w:cs="Times New Roman"/>
                <w:sz w:val="24"/>
                <w:szCs w:val="24"/>
              </w:rPr>
              <w:lastRenderedPageBreak/>
              <w:t>and entities of automatic location identification in ubiquitous sensor networks (USNs).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sz w:val="24"/>
                <w:szCs w:val="24"/>
              </w:rPr>
            </w:pPr>
            <w:hyperlink r:id="rId791" w:tooltip="Requirements and common characteristics of the IoT identifier for the IoT service" w:history="1">
              <w:r w:rsidR="00A11163" w:rsidRPr="004567E2">
                <w:rPr>
                  <w:rStyle w:val="Hyperlink"/>
                  <w:rFonts w:ascii="Times New Roman" w:hAnsi="Times New Roman" w:cs="Times New Roman"/>
                  <w:sz w:val="24"/>
                  <w:szCs w:val="24"/>
                </w:rPr>
                <w:t>Recommendation ITU-T Y.4801/F.748.1 “Requirements and common characteristics of the IoT identifier for the IoT service”</w:t>
              </w:r>
            </w:hyperlink>
            <w:r w:rsidR="00A11163" w:rsidRPr="004567E2">
              <w:rPr>
                <w:rFonts w:ascii="Times New Roman" w:hAnsi="Times New Roman" w:cs="Times New Roman"/>
                <w:sz w:val="24"/>
                <w:szCs w:val="24"/>
              </w:rPr>
              <w:t xml:space="preserve"> describes the requirements and common characteristics of the Internet of things (IoT) identifier for the IoT service.</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92" w:history="1">
              <w:r w:rsidR="00A11163" w:rsidRPr="004567E2">
                <w:rPr>
                  <w:rStyle w:val="Hyperlink"/>
                  <w:rFonts w:ascii="Times New Roman" w:hAnsi="Times New Roman" w:cs="Times New Roman"/>
                  <w:sz w:val="24"/>
                  <w:szCs w:val="24"/>
                </w:rPr>
                <w:t>Recommendation ITU-T Y.4802/H.642.2 “Multimedia information access triggered by tag-based identification - Registration procedures for identifiers”</w:t>
              </w:r>
            </w:hyperlink>
            <w:r w:rsidR="00A11163" w:rsidRPr="004567E2">
              <w:rPr>
                <w:rFonts w:ascii="Times New Roman" w:hAnsi="Times New Roman" w:cs="Times New Roman"/>
                <w:sz w:val="24"/>
                <w:szCs w:val="24"/>
              </w:rPr>
              <w:t xml:space="preserve"> describes registration procedures for the identifier scheme defined in Recommendation ITU-T H.642.1. It also designates the Registration Authority (RA) in charge of implementing these procedures.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93" w:tooltip="Multimedia information access triggered by tag-based identification - Registration procedures for identifiers" w:history="1">
              <w:r w:rsidR="00A11163" w:rsidRPr="004567E2">
                <w:rPr>
                  <w:rStyle w:val="Hyperlink"/>
                  <w:rFonts w:ascii="Times New Roman" w:hAnsi="Times New Roman" w:cs="Times New Roman"/>
                  <w:sz w:val="24"/>
                  <w:szCs w:val="24"/>
                </w:rPr>
                <w:t>Recommendation ITU-T Y.4802/H.642.2 “Multimedia information access triggered by tag-based identification - Registration procedures for identifiers”</w:t>
              </w:r>
            </w:hyperlink>
            <w:r w:rsidR="00A11163" w:rsidRPr="004567E2">
              <w:rPr>
                <w:rFonts w:ascii="Times New Roman" w:hAnsi="Times New Roman" w:cs="Times New Roman"/>
                <w:sz w:val="24"/>
                <w:szCs w:val="24"/>
              </w:rPr>
              <w:t xml:space="preserve"> describes registration procedures for the identifier scheme defined in Recommendation ITU-T H.642.1. It also designates the Registration Authority (RA) in charge of implementing these procedures.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94" w:history="1">
              <w:r w:rsidR="00A11163" w:rsidRPr="004567E2">
                <w:rPr>
                  <w:rStyle w:val="Hyperlink"/>
                  <w:rFonts w:ascii="Times New Roman" w:hAnsi="Times New Roman" w:cs="Times New Roman"/>
                  <w:sz w:val="24"/>
                  <w:szCs w:val="24"/>
                </w:rPr>
                <w:t>Recommendation ITU-T Y.4803/H.642.3 “Information technology – Automatic identification and data capture technique - Identifier resolution protocol for multimedia information access triggered by tag-based identification”</w:t>
              </w:r>
            </w:hyperlink>
            <w:r w:rsidR="00A11163" w:rsidRPr="004567E2">
              <w:rPr>
                <w:rFonts w:ascii="Times New Roman" w:hAnsi="Times New Roman" w:cs="Times New Roman"/>
                <w:sz w:val="24"/>
                <w:szCs w:val="24"/>
              </w:rPr>
              <w:t xml:space="preserve"> specifies the identifier (ID) resolution protocol for multimedia information access triggered by tag-based identification. This ID resolution protocol is used to retrieve the location and access method of the multimedia information associated with an ID.</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95" w:tooltip="Multimedia information access triggered by tag-based identification - Identification scheme" w:history="1">
              <w:r w:rsidR="00A11163" w:rsidRPr="004567E2">
                <w:rPr>
                  <w:rStyle w:val="Hyperlink"/>
                  <w:rFonts w:ascii="Times New Roman" w:hAnsi="Times New Roman" w:cs="Times New Roman"/>
                  <w:sz w:val="24"/>
                  <w:szCs w:val="24"/>
                </w:rPr>
                <w:t>Recommendation ITU-T Y.4804/H.642.1 “Multimedia information access triggered by tag-based identification - Identification scheme”</w:t>
              </w:r>
            </w:hyperlink>
            <w:r w:rsidR="00A11163" w:rsidRPr="004567E2">
              <w:rPr>
                <w:rFonts w:ascii="Times New Roman" w:hAnsi="Times New Roman" w:cs="Times New Roman"/>
                <w:sz w:val="24"/>
                <w:szCs w:val="24"/>
              </w:rPr>
              <w:t xml:space="preserve"> defines an identification scheme for multimedia information access triggered by tag-based identification. Multimedia information associated with such an identifier can be retrieved using a resolution process.</w:t>
            </w:r>
            <w:r w:rsidR="00A11163" w:rsidRPr="004567E2">
              <w:rPr>
                <w:rFonts w:ascii="Times New Roman" w:hAnsi="Times New Roman" w:cs="Times New Roman"/>
                <w:sz w:val="24"/>
                <w:szCs w:val="24"/>
              </w:rPr>
              <w:br/>
              <w:t xml:space="preserve">This Recommendation provides a framework for accommodating the legacy existing identification schemes together with the new identification scheme defined </w:t>
            </w:r>
            <w:r w:rsidR="00A11163" w:rsidRPr="004567E2">
              <w:rPr>
                <w:rFonts w:ascii="Times New Roman" w:hAnsi="Times New Roman" w:cs="Times New Roman"/>
                <w:sz w:val="24"/>
                <w:szCs w:val="24"/>
              </w:rPr>
              <w:lastRenderedPageBreak/>
              <w:t>here using a pair of object identifiers for the identification scheme and identifier itself.</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C5,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96" w:history="1">
              <w:r w:rsidR="00A11163" w:rsidRPr="004567E2">
                <w:rPr>
                  <w:rStyle w:val="Hyperlink"/>
                  <w:rFonts w:ascii="Times New Roman" w:hAnsi="Times New Roman" w:cs="Times New Roman"/>
                  <w:sz w:val="24"/>
                  <w:szCs w:val="24"/>
                </w:rPr>
                <w:t>Recommendation ITU-T Y.4805 “Identifier service requirements for the interoperability of Smart City applications”</w:t>
              </w:r>
            </w:hyperlink>
            <w:r w:rsidR="00A11163" w:rsidRPr="004567E2">
              <w:rPr>
                <w:rFonts w:ascii="Times New Roman" w:hAnsi="Times New Roman" w:cs="Times New Roman"/>
                <w:sz w:val="24"/>
                <w:szCs w:val="24"/>
              </w:rPr>
              <w:t xml:space="preserve"> specifies a set of requirements for identifier services in smart city. The set of requirements may serve as the guidelines for developing new identifier services for smart city. It will include security features for service integrity, data confidentiality. The Recommendation will define a full list of security requirements for the identifier service.</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97" w:history="1">
              <w:r w:rsidR="00A11163" w:rsidRPr="004567E2">
                <w:rPr>
                  <w:rStyle w:val="Hyperlink"/>
                  <w:rFonts w:ascii="Times New Roman" w:hAnsi="Times New Roman" w:cs="Times New Roman"/>
                  <w:sz w:val="24"/>
                  <w:szCs w:val="24"/>
                </w:rPr>
                <w:t>Recommendation ITU-T Y.4806 “Security capabilities supporting safety of the Internet of Things”</w:t>
              </w:r>
            </w:hyperlink>
            <w:r w:rsidR="00A11163" w:rsidRPr="004567E2">
              <w:rPr>
                <w:rFonts w:ascii="Times New Roman" w:hAnsi="Times New Roman" w:cs="Times New Roman"/>
                <w:sz w:val="24"/>
                <w:szCs w:val="24"/>
              </w:rPr>
              <w:t xml:space="preserve"> provides a classification of the security issues for the Internet of Things and examines how the security threats may affect safety, in order to determine which security capabilities specified in Recommendation ITU-T Y.4401/Y.2068 support safe execution of the Internet of Things. The Appendixes of this Recommendation consider how the joint analysis of threats and security capabilities mentioned herein may be used to establish security requirements for the different applications of the Internet of Things.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98" w:tooltip="Overview of key performance indicators in smart sustainable cities" w:history="1">
              <w:r w:rsidR="00A11163" w:rsidRPr="004567E2">
                <w:rPr>
                  <w:rStyle w:val="Hyperlink"/>
                  <w:rFonts w:ascii="Times New Roman" w:hAnsi="Times New Roman" w:cs="Times New Roman"/>
                  <w:sz w:val="24"/>
                  <w:szCs w:val="24"/>
                </w:rPr>
                <w:t>Recommendation ITU-T Y.4900/L.1600 “Overview of key performance indicators in smart sustainable cities”</w:t>
              </w:r>
            </w:hyperlink>
            <w:r w:rsidR="00A11163" w:rsidRPr="004567E2">
              <w:rPr>
                <w:rFonts w:ascii="Times New Roman" w:hAnsi="Times New Roman" w:cs="Times New Roman"/>
                <w:sz w:val="24"/>
                <w:szCs w:val="24"/>
              </w:rPr>
              <w:t xml:space="preserve"> gives a general guidance to cities and provides an overview of key performance indicators (KPIs) in the context of smart sustainable cities (SSCs).</w:t>
            </w:r>
            <w:r w:rsidR="00A11163" w:rsidRPr="004567E2">
              <w:rPr>
                <w:rFonts w:ascii="Times New Roman" w:hAnsi="Times New Roman" w:cs="Times New Roman"/>
                <w:sz w:val="24"/>
                <w:szCs w:val="24"/>
              </w:rPr>
              <w:br/>
              <w:t>This Recommendation is one of series of the Recommendations and Supplements that define KPIs. The series of KPI definitions documents also include:</w:t>
            </w:r>
            <w:r w:rsidR="00A11163" w:rsidRPr="004567E2">
              <w:rPr>
                <w:rFonts w:ascii="Times New Roman" w:hAnsi="Times New Roman" w:cs="Times New Roman"/>
                <w:sz w:val="24"/>
                <w:szCs w:val="24"/>
              </w:rPr>
              <w:br/>
              <w:t>• Recommendation ITU-T Y.4901/L.1601 on key performance indicators (KPIs) related to the use of information and communication technology (ICT) in smart sustainable cities. This Recommendation lists the KPIs focusing on ICT use in smart sustainable cities (SSCs).</w:t>
            </w:r>
            <w:r w:rsidR="00A11163" w:rsidRPr="004567E2">
              <w:rPr>
                <w:rFonts w:ascii="Times New Roman" w:hAnsi="Times New Roman" w:cs="Times New Roman"/>
                <w:sz w:val="24"/>
                <w:szCs w:val="24"/>
              </w:rPr>
              <w:br/>
              <w:t xml:space="preserve">• Recommendation ITU-T Y.4902/L.1602 on key performance indicators (KPIs) related to the sustainability impacts of information and communication technology (ICT) in smart sustainable cities. This Recommendation lists the KPIs used for ICT </w:t>
            </w:r>
            <w:r w:rsidR="00A11163" w:rsidRPr="004567E2">
              <w:rPr>
                <w:rFonts w:ascii="Times New Roman" w:hAnsi="Times New Roman" w:cs="Times New Roman"/>
                <w:sz w:val="24"/>
                <w:szCs w:val="24"/>
              </w:rPr>
              <w:lastRenderedPageBreak/>
              <w:t>impact on sustainability.</w:t>
            </w:r>
            <w:r w:rsidR="00A11163" w:rsidRPr="004567E2">
              <w:rPr>
                <w:rFonts w:ascii="Times New Roman" w:hAnsi="Times New Roman" w:cs="Times New Roman"/>
                <w:sz w:val="24"/>
                <w:szCs w:val="24"/>
              </w:rPr>
              <w:br/>
              <w:t>• Supplement ITU-T Y-Suppl. 39 on key performance indicators (KPIs) for smart sustainable cities. This document provides information regarding KPIs and evaluation index systems of smart cities, KPIs of sustainable cities, etc.</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799" w:history="1">
              <w:r w:rsidR="00A11163" w:rsidRPr="004567E2">
                <w:rPr>
                  <w:rStyle w:val="Hyperlink"/>
                  <w:rFonts w:ascii="Times New Roman" w:hAnsi="Times New Roman" w:cs="Times New Roman"/>
                  <w:sz w:val="24"/>
                  <w:szCs w:val="24"/>
                </w:rPr>
                <w:t>Recommendation ITU-T Y.4901/L.1601 “Key performance indicators related to the use of information and communication technology in smart sustainable cities”</w:t>
              </w:r>
            </w:hyperlink>
            <w:r w:rsidR="00A11163" w:rsidRPr="004567E2">
              <w:rPr>
                <w:rFonts w:ascii="Times New Roman" w:hAnsi="Times New Roman" w:cs="Times New Roman"/>
                <w:sz w:val="24"/>
                <w:szCs w:val="24"/>
              </w:rPr>
              <w:t xml:space="preserve"> gives a general guidance to cities and provides the definitions of key performance indicators (KPIs) related to the use of information and communication technology (ICT) in the context of Smart Sustainable Cities (SSCs).</w:t>
            </w:r>
            <w:r w:rsidR="00A11163" w:rsidRPr="004567E2">
              <w:rPr>
                <w:rFonts w:ascii="Times New Roman" w:hAnsi="Times New Roman" w:cs="Times New Roman"/>
                <w:sz w:val="24"/>
                <w:szCs w:val="24"/>
              </w:rPr>
              <w:br/>
              <w:t>This Recommendation is one of series of the Recommendations and Supplements which define KPIs. The series of KPI definitions documents also include:</w:t>
            </w:r>
            <w:r w:rsidR="00A11163" w:rsidRPr="004567E2">
              <w:rPr>
                <w:rFonts w:ascii="Times New Roman" w:hAnsi="Times New Roman" w:cs="Times New Roman"/>
                <w:sz w:val="24"/>
                <w:szCs w:val="24"/>
              </w:rPr>
              <w:br/>
              <w:t>§ Recommendation on overview of key performance indicators (KPIs) in smart sustainable cities [ITU-T L.KPIs-SSC-overview].</w:t>
            </w:r>
            <w:r w:rsidR="00A11163" w:rsidRPr="004567E2">
              <w:rPr>
                <w:rFonts w:ascii="Times New Roman" w:hAnsi="Times New Roman" w:cs="Times New Roman"/>
                <w:sz w:val="24"/>
                <w:szCs w:val="24"/>
              </w:rPr>
              <w:br/>
              <w:t>- Recommendation on key performance indicators (KPIs) related to the sustainability impacts of information and communication technology (ICT) in smart sustainable cities [ITU-T L.KPIs-SSC-impact]. This Recommendation lists the KPIs used for ICT impact on sustainability.</w:t>
            </w:r>
            <w:r w:rsidR="00A11163" w:rsidRPr="004567E2">
              <w:rPr>
                <w:rFonts w:ascii="Times New Roman" w:hAnsi="Times New Roman" w:cs="Times New Roman"/>
                <w:sz w:val="24"/>
                <w:szCs w:val="24"/>
              </w:rPr>
              <w:br/>
              <w:t>- Supplement on key performance indicators (KPIs) for smart sustainable cities [ITU-T L.KPIs-SSC-Supp]. This document provides information regarding KPIs and evaluation index systems of smart cities, KPIs of sustainable cities, etc.</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800" w:history="1">
              <w:r w:rsidR="00A11163" w:rsidRPr="004567E2">
                <w:rPr>
                  <w:rStyle w:val="Hyperlink"/>
                  <w:rFonts w:ascii="Times New Roman" w:hAnsi="Times New Roman" w:cs="Times New Roman"/>
                  <w:sz w:val="24"/>
                  <w:szCs w:val="24"/>
                </w:rPr>
                <w:t>Recommendation ITU-T Y.4902/L.1602 “Key performance indicators related to the sustainability impacts of information and communication technology in smart sustainable cities”</w:t>
              </w:r>
            </w:hyperlink>
            <w:r w:rsidR="00A11163" w:rsidRPr="004567E2">
              <w:rPr>
                <w:rFonts w:ascii="Times New Roman" w:hAnsi="Times New Roman" w:cs="Times New Roman"/>
                <w:sz w:val="24"/>
                <w:szCs w:val="24"/>
              </w:rPr>
              <w:t xml:space="preserve"> gives a general guidance to cities and provide the definitions of key performance indicators (KPIs) related to the sustainability impact of information and communication technology (ICT) in the context of smart sustainable cities (SSCs).</w:t>
            </w:r>
            <w:r w:rsidR="00A11163" w:rsidRPr="004567E2">
              <w:rPr>
                <w:rFonts w:ascii="Times New Roman" w:hAnsi="Times New Roman" w:cs="Times New Roman"/>
                <w:sz w:val="24"/>
                <w:szCs w:val="24"/>
              </w:rPr>
              <w:br/>
              <w:t>This Recommendation is one of series of the Recommendations and Supplements that define KPIs. The series of KPI definitions documents also include:</w:t>
            </w:r>
            <w:r w:rsidR="00A11163" w:rsidRPr="004567E2">
              <w:rPr>
                <w:rFonts w:ascii="Times New Roman" w:hAnsi="Times New Roman" w:cs="Times New Roman"/>
                <w:sz w:val="24"/>
                <w:szCs w:val="24"/>
              </w:rPr>
              <w:br/>
              <w:t xml:space="preserve">• Recommendation ITU-T Y.4900/L.1600 on overview of key performance </w:t>
            </w:r>
            <w:r w:rsidR="00A11163" w:rsidRPr="004567E2">
              <w:rPr>
                <w:rFonts w:ascii="Times New Roman" w:hAnsi="Times New Roman" w:cs="Times New Roman"/>
                <w:sz w:val="24"/>
                <w:szCs w:val="24"/>
              </w:rPr>
              <w:lastRenderedPageBreak/>
              <w:t>indicators (KPIs) in smart sustainable cities.</w:t>
            </w:r>
            <w:r w:rsidR="00A11163" w:rsidRPr="004567E2">
              <w:rPr>
                <w:rFonts w:ascii="Times New Roman" w:hAnsi="Times New Roman" w:cs="Times New Roman"/>
                <w:sz w:val="24"/>
                <w:szCs w:val="24"/>
              </w:rPr>
              <w:br/>
              <w:t>• Recommendation ITU-T Y.4901/L.1601 on key performance indicators (KPIs) related to the use of information and communication technology (ICT) in smart sustainable cities. This Recommendation lists the KPIs used for ICT use in SSC.</w:t>
            </w:r>
            <w:r w:rsidR="00A11163" w:rsidRPr="004567E2">
              <w:rPr>
                <w:rFonts w:ascii="Times New Roman" w:hAnsi="Times New Roman" w:cs="Times New Roman"/>
                <w:sz w:val="24"/>
                <w:szCs w:val="24"/>
              </w:rPr>
              <w:br/>
              <w:t>• Supplement ITU-T Y.Suppl. 39 on key performance indicators (KPIs) for smart sustainable cities. This document provides information regarding KPIs and evaluation index systems of smart cities, KPIs of sustainable cities, etc.</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801" w:history="1">
              <w:r w:rsidR="00A11163" w:rsidRPr="004567E2">
                <w:rPr>
                  <w:rStyle w:val="Hyperlink"/>
                  <w:rFonts w:ascii="Times New Roman" w:hAnsi="Times New Roman" w:cs="Times New Roman"/>
                  <w:sz w:val="24"/>
                  <w:szCs w:val="24"/>
                </w:rPr>
                <w:t>Recommendation ITU-T Y.4903/L.1603 “Key performance indicators for smart sustainable cities to assess the achievement of sustainable development goals”</w:t>
              </w:r>
            </w:hyperlink>
            <w:r w:rsidR="00A11163" w:rsidRPr="004567E2">
              <w:rPr>
                <w:rFonts w:ascii="Times New Roman" w:hAnsi="Times New Roman" w:cs="Times New Roman"/>
                <w:sz w:val="24"/>
                <w:szCs w:val="24"/>
              </w:rPr>
              <w:t xml:space="preserve"> gives general guidance to cities and provides Key Performance Indicators (KPIs) for Smart Sustainable Cities (SSCs) to help cities achieve Sustainable Development Goals (SDGs). It has been jointly developed with UNECE and other UN agencies.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802" w:tooltip="ITU-T Y.4400 series –  Smart sustainable cities - Setting the framework for an ICT architecture" w:history="1">
              <w:r w:rsidR="00A11163" w:rsidRPr="004567E2">
                <w:rPr>
                  <w:rStyle w:val="Hyperlink"/>
                  <w:rFonts w:ascii="Times New Roman" w:hAnsi="Times New Roman" w:cs="Times New Roman"/>
                  <w:sz w:val="24"/>
                  <w:szCs w:val="24"/>
                </w:rPr>
                <w:t>Y Suppl. 27: ITU-T Y.4400 series –“Smart sustainable cities - Setting the framework for an ICT architecture</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describes the architecture terminology and the ICT architectural framework of a smart sustainable city. From the views of software engineering, communication and modular ICT architecture, it presents and concludes on corresponding architecture views and guides. It is applicable to ICT architecture for Smart Sustainable Cities.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803" w:tooltip="ITU-T Y.4550 series –  Smart sustainable cities - Integrated management" w:history="1">
              <w:r w:rsidR="00A11163" w:rsidRPr="004567E2">
                <w:rPr>
                  <w:rStyle w:val="Hyperlink"/>
                  <w:rFonts w:ascii="Times New Roman" w:hAnsi="Times New Roman" w:cs="Times New Roman"/>
                  <w:sz w:val="24"/>
                  <w:szCs w:val="24"/>
                </w:rPr>
                <w:t>Y Suppl. 28: ITU-T Y.4550 series “Smart sustainable cities - Integrated management</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proposes an integrated management solution for smart sustainable cities (IMSSC). With IMSSC, the sensors, nodes, and models can function in an organized way. As a result, when emergency events occur, the data, models and other resources needed can be rapidly discovered and acquired. To achieve the goal of making a city smarter and more sustainable, the first step is to analyse real-time processes and understand event patterns through event modeling. Additional capabilities, in terms of processing units, application units, as well as models, might be needed. The second step is to fuse processing so that different sources of observation can be combined together to compensate their own deficiencies and attain the goal more efficiently. Finally, services for information resource </w:t>
            </w:r>
            <w:r w:rsidR="00A11163" w:rsidRPr="004567E2">
              <w:rPr>
                <w:rFonts w:ascii="Times New Roman" w:hAnsi="Times New Roman" w:cs="Times New Roman"/>
                <w:sz w:val="24"/>
                <w:szCs w:val="24"/>
              </w:rPr>
              <w:lastRenderedPageBreak/>
              <w:t>publishing and sharing as well as result fusing are also necessary to disseminate information across the concerned agencies. By adopting the integrated management system, each city can make a big step towards the implementation of the smart sustainable city vision.</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804" w:tooltip="ITU-T Y.4250 series –  Smart Sustainable Cities - Multi-service infrastructure in new-development areas" w:history="1">
              <w:r w:rsidR="00A11163" w:rsidRPr="004567E2">
                <w:rPr>
                  <w:rStyle w:val="Hyperlink"/>
                  <w:rFonts w:ascii="Times New Roman" w:hAnsi="Times New Roman" w:cs="Times New Roman"/>
                  <w:sz w:val="24"/>
                  <w:szCs w:val="24"/>
                </w:rPr>
                <w:t>Y Suppl. 29: ITU-T Y.4250 series “Smart Sustainable Cities - Multi-service infrastructure in new-development areas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describes the various infrastructures for a smart sustainable city in a new-development area. The designated infrastructure in this document includes: common physical infrastructure highlighting ICT, ducted and trenched infrastructure below ground, over ground common physical infrastructure, common risers in buildings, etc. The following issues are considered: safety, maintenance, lifecycle including possible obsolescence, flexibility points, scalability and growth. Examples are included of best practices for physical infrastructure including opportunities for sharing service paths below and above ground, such as conduits.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805" w:tooltip="ITU-T Y.4250 series –  Smart sustainable cities - Overview of smart sustainable cities infrastructure" w:history="1">
              <w:r w:rsidR="00A11163" w:rsidRPr="004567E2">
                <w:rPr>
                  <w:rStyle w:val="Hyperlink"/>
                  <w:rFonts w:ascii="Times New Roman" w:hAnsi="Times New Roman" w:cs="Times New Roman"/>
                  <w:sz w:val="24"/>
                  <w:szCs w:val="24"/>
                </w:rPr>
                <w:t>Y Suppl. 30: ITU-T Y.4250 series “Smart sustainable cities - Overview of smart sustainable cities infrastructure</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presents the overview of infrastructure in cities. Generally the city infrastructure can be classified as digital/ICT infrastructure and physical infrastructure. The intelligent improvement of physical infrastructure can be achieved through the widely adoption of information and communication technologies. In this sense, ICT acts as an enabler to construct Smart Sustainable Cities. Consequently using ICTs in SSC results in cost and energy saving, increased economic growth, improved quality of life (QoL), and reduced environmental footprint.</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806" w:tooltip="ITU-T Y.4550 series –  Smart sustainable cities - Intelligent sustainable buildings" w:history="1">
              <w:r w:rsidR="00A11163" w:rsidRPr="004567E2">
                <w:rPr>
                  <w:rStyle w:val="Hyperlink"/>
                  <w:rFonts w:ascii="Times New Roman" w:hAnsi="Times New Roman" w:cs="Times New Roman"/>
                  <w:sz w:val="24"/>
                  <w:szCs w:val="24"/>
                </w:rPr>
                <w:t>Y Suppl. 31: ITU-T Y.4550 series “Smart sustainable cities - Intelligent sustainable buildings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provides a number of examples of "intelligent buildings", while describing the benefits and efficiencies generated by such integration.</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807" w:tooltip="ITU-T Y.4050-Y.4099 - Definition for smart sustainable city" w:history="1">
              <w:r w:rsidR="00A11163" w:rsidRPr="004567E2">
                <w:rPr>
                  <w:rStyle w:val="Hyperlink"/>
                  <w:rFonts w:ascii="Times New Roman" w:hAnsi="Times New Roman" w:cs="Times New Roman"/>
                  <w:sz w:val="24"/>
                  <w:szCs w:val="24"/>
                </w:rPr>
                <w:t>Y Suppl. 37: ITU-T Y.4050-Y.4099 “Definition for smart sustainable city</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includes the definition for smart sustainable cities (SSC). It was developed by the Focus Group on Smart sustainable Cities (FG-SSC) that carried out an analysis of </w:t>
            </w:r>
            <w:r w:rsidR="00A11163" w:rsidRPr="004567E2">
              <w:rPr>
                <w:rFonts w:ascii="Times New Roman" w:hAnsi="Times New Roman" w:cs="Times New Roman"/>
                <w:sz w:val="24"/>
                <w:szCs w:val="24"/>
              </w:rPr>
              <w:lastRenderedPageBreak/>
              <w:t>definitions for smart sustainable cities (see Technical Report "ITU-T TR SSC Def") following the adoption of the UN General Assembly 66 Resolution 288 (see "UN Resolution 288"). This definition has been developed with input from UNECE, UNFCCC, UNESCO, UN-Habitat, other UN agencies and stakeholders.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808" w:tooltip="ITU-T Y.4050-Y.4099 - Smart sustainable cities - An analysis of definitions" w:history="1">
              <w:r w:rsidR="00A11163" w:rsidRPr="004567E2">
                <w:rPr>
                  <w:rStyle w:val="Hyperlink"/>
                  <w:rFonts w:ascii="Times New Roman" w:hAnsi="Times New Roman" w:cs="Times New Roman"/>
                  <w:sz w:val="24"/>
                  <w:szCs w:val="24"/>
                </w:rPr>
                <w:t>Y Suppl. 38: ITU-T Y.4050-Y.4099 “Smart sustainable cities - An analysis of definitions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analyses the major aspects of smart sustainable cities and eco-cities from: (i) the perspective of academics, (ii) the business initiative approach, and (iii) the international organization collaborations with the final aim of establishing a concrete definition for smart sustainable cities which can be used worldwide. This would also provide a basis for understanding the most common features of smart sustainable cities.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A11163" w:rsidP="00A11163">
            <w:pPr>
              <w:widowControl w:val="0"/>
              <w:rPr>
                <w:rFonts w:ascii="Times New Roman" w:hAnsi="Times New Roman" w:cs="Times New Roman"/>
                <w:bCs/>
                <w:iCs/>
                <w:sz w:val="24"/>
                <w:szCs w:val="24"/>
              </w:rPr>
            </w:pPr>
            <w:r w:rsidRPr="004567E2">
              <w:rPr>
                <w:rFonts w:ascii="Times New Roman" w:hAnsi="Times New Roman" w:cs="Times New Roman"/>
                <w:bCs/>
                <w:iCs/>
                <w:sz w:val="24"/>
                <w:szCs w:val="24"/>
              </w:rPr>
              <w:t>ITU-T (SG20) has been working with UNECE to develop an internationally accepted definition for SSC which reads as follows:</w:t>
            </w:r>
          </w:p>
          <w:p w:rsidR="00A11163" w:rsidRPr="004567E2" w:rsidRDefault="00A11163" w:rsidP="00A11163">
            <w:pPr>
              <w:rPr>
                <w:rStyle w:val="Hyperlink"/>
                <w:rFonts w:ascii="Times New Roman" w:hAnsi="Times New Roman" w:cs="Times New Roman"/>
                <w:sz w:val="24"/>
                <w:szCs w:val="24"/>
              </w:rPr>
            </w:pPr>
            <w:r w:rsidRPr="004567E2">
              <w:rPr>
                <w:rFonts w:ascii="Times New Roman" w:hAnsi="Times New Roman" w:cs="Times New Roman"/>
                <w:bCs/>
                <w:i/>
                <w:iCs/>
                <w:sz w:val="24"/>
                <w:szCs w:val="24"/>
              </w:rPr>
              <w:t>“A smart sustainable city is an innovative city that uses information and communication technologies (ICTs) and other means to improve quality of life, efficiency of urban operation and services, and competitiveness, while ensuring that it meets the needs of present and future generations with respect to economic, social, environmental as well as cultural aspects</w:t>
            </w:r>
            <w:r w:rsidRPr="004567E2">
              <w:rPr>
                <w:rFonts w:ascii="Times New Roman" w:hAnsi="Times New Roman" w:cs="Times New Roman"/>
                <w:bCs/>
                <w:i/>
                <w:sz w:val="24"/>
                <w:szCs w:val="24"/>
              </w:rPr>
              <w:t>”</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9.1, 11.3,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SSC</w:t>
            </w:r>
          </w:p>
        </w:tc>
        <w:tc>
          <w:tcPr>
            <w:tcW w:w="8278" w:type="dxa"/>
          </w:tcPr>
          <w:p w:rsidR="00A11163" w:rsidRPr="004567E2" w:rsidRDefault="00A11163" w:rsidP="00A11163">
            <w:pPr>
              <w:rPr>
                <w:rStyle w:val="Hyperlink"/>
                <w:rFonts w:ascii="Times New Roman" w:hAnsi="Times New Roman" w:cs="Times New Roman"/>
                <w:sz w:val="24"/>
                <w:szCs w:val="24"/>
              </w:rPr>
            </w:pPr>
            <w:r w:rsidRPr="004567E2">
              <w:rPr>
                <w:rFonts w:ascii="Times New Roman" w:hAnsi="Times New Roman" w:cs="Times New Roman"/>
                <w:bCs/>
                <w:iCs/>
                <w:sz w:val="24"/>
                <w:szCs w:val="24"/>
              </w:rPr>
              <w:t>ITU-T and UNECE have also been working under the umbrella of FG-SSC to develop an extensive list of key performance indicators (KPIs) for cities wishing to transition into SSC.</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C11</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 xml:space="preserve">9.1, 11.3,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809" w:history="1">
              <w:r w:rsidR="00A11163" w:rsidRPr="004567E2">
                <w:rPr>
                  <w:rStyle w:val="Hyperlink"/>
                  <w:rFonts w:ascii="Times New Roman" w:hAnsi="Times New Roman" w:cs="Times New Roman"/>
                  <w:sz w:val="24"/>
                  <w:szCs w:val="24"/>
                </w:rPr>
                <w:t>Recommendation ITU-T L.1603/Y.4903 "Key performance indicators for smart sustainable cities to assess the achievement of sustainable development goals"</w:t>
              </w:r>
            </w:hyperlink>
            <w:r w:rsidR="00A11163" w:rsidRPr="004567E2">
              <w:rPr>
                <w:rFonts w:ascii="Times New Roman" w:hAnsi="Times New Roman" w:cs="Times New Roman"/>
                <w:sz w:val="24"/>
                <w:szCs w:val="24"/>
              </w:rPr>
              <w:t xml:space="preserve"> gives general guidance to cities and provides key performance indicators (KPIs) for Smart Sustainable Cities (SSCs) to help cities achieve Sustainable Development Goals (SDGs).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9.1, 11.3</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810" w:tooltip="ITU-T Y.4000 series –  Smart sustainable cities - A guide for city leaders" w:history="1">
              <w:r w:rsidR="00A11163" w:rsidRPr="004567E2">
                <w:rPr>
                  <w:rStyle w:val="Hyperlink"/>
                  <w:rFonts w:ascii="Times New Roman" w:hAnsi="Times New Roman" w:cs="Times New Roman"/>
                  <w:sz w:val="24"/>
                  <w:szCs w:val="24"/>
                </w:rPr>
                <w:t>Y Suppl. 32: ITU-T Y.4000 series “Smart sustainable cities - A guide for city leaders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is intended for city decision makers and strategists, whose decisions have a significant impact on the way their city functions and its future development trajectory. Accordingly, this high level policy document helps identify practical steps based on which urban decision makers can envisage and build their very own Smart Sustainable City.</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9.1, 11.3</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811" w:tooltip="ITU-T Y.4000 series –  Smart sustainable cities - Master plan" w:history="1">
              <w:r w:rsidR="00A11163" w:rsidRPr="004567E2">
                <w:rPr>
                  <w:rStyle w:val="Hyperlink"/>
                  <w:rFonts w:ascii="Times New Roman" w:hAnsi="Times New Roman" w:cs="Times New Roman"/>
                  <w:sz w:val="24"/>
                  <w:szCs w:val="24"/>
                </w:rPr>
                <w:t>Y Suppl. 33: ITU-T Y.4000 series “Smart sustainable cities - Master plan</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provides a methodology of making master plan of building smart sustainable cities (SSC), which will be interested by the municipalities and stakeholders. A general overview of the stages of SSC is presented. It provides a guide for the implementation of SSC based on intensive use of ICTs, and refers the reader to a series of thematic reports, that address the specific technical aspects involved in the design and operation of SSC strategies.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9.1, 11.3</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812" w:tooltip="ITU-T Y.4000 series –  Smart sustainable cities - Setting the stage for stakeholders' engagement" w:history="1">
              <w:r w:rsidR="00A11163" w:rsidRPr="004567E2">
                <w:rPr>
                  <w:rStyle w:val="Hyperlink"/>
                  <w:rFonts w:ascii="Times New Roman" w:hAnsi="Times New Roman" w:cs="Times New Roman"/>
                  <w:sz w:val="24"/>
                  <w:szCs w:val="24"/>
                </w:rPr>
                <w:t>Y Suppl. 34: ITU-T Y.4000 series “Smart sustainable cities - Setting the stage for stakeholders' engagement</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is addressed to a broad audience of city decision makers and practitioners involved in the design and implementation of SSC. It is intended to be as general and inclusive as possible, applicable and relevant to any city, regardless of its size or location, in both developed and developing countries. The concepts and definitions presented in this Supplement are in alignment with the series of Supplements to Y.4000 series.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9.1, 11.3</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813" w:tooltip="ITU-T Y.4550-Y.4699 -  Smart water management in cities " w:history="1">
              <w:r w:rsidR="00A11163" w:rsidRPr="004567E2">
                <w:rPr>
                  <w:rStyle w:val="Hyperlink"/>
                  <w:rFonts w:ascii="Times New Roman" w:hAnsi="Times New Roman" w:cs="Times New Roman"/>
                  <w:sz w:val="24"/>
                  <w:szCs w:val="24"/>
                </w:rPr>
                <w:t xml:space="preserve">Y Suppl. 36: ITU-T Y.4550-Y.4699 “Smart water management in cities” </w:t>
              </w:r>
            </w:hyperlink>
            <w:r w:rsidR="00A11163" w:rsidRPr="004567E2">
              <w:rPr>
                <w:rFonts w:ascii="Times New Roman" w:hAnsi="Times New Roman" w:cs="Times New Roman"/>
                <w:sz w:val="24"/>
                <w:szCs w:val="24"/>
              </w:rPr>
              <w:t xml:space="preserve">provides municipalities, decision-makers and interested stakeholders with an overview of the main technical aspects that need to be considered to effectively design and implement smart water management in cities. This Supplement approaches smart water management systems from an overarching perspective. Therefore, it is expected that the smart water technologies described, as well as their integration into urban water management systems, can be relevant to inform the design of new systems (e.g. in the case of rapid urban growth and infrastructure extension in developing countries), as well as to update existing systems (e.g. linked to </w:t>
            </w:r>
            <w:r w:rsidR="00A11163" w:rsidRPr="004567E2">
              <w:rPr>
                <w:rFonts w:ascii="Times New Roman" w:hAnsi="Times New Roman" w:cs="Times New Roman"/>
                <w:sz w:val="24"/>
                <w:szCs w:val="24"/>
              </w:rPr>
              <w:lastRenderedPageBreak/>
              <w:t>declining per capita demand for water and ageing infrastructure in developed countries).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9.1, 11.3</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SG20 results</w:t>
            </w:r>
          </w:p>
        </w:tc>
        <w:tc>
          <w:tcPr>
            <w:tcW w:w="8278" w:type="dxa"/>
          </w:tcPr>
          <w:p w:rsidR="00A11163" w:rsidRPr="004567E2" w:rsidRDefault="007835EF" w:rsidP="00A11163">
            <w:pPr>
              <w:rPr>
                <w:rFonts w:ascii="Times New Roman" w:hAnsi="Times New Roman" w:cs="Times New Roman"/>
                <w:sz w:val="24"/>
                <w:szCs w:val="24"/>
              </w:rPr>
            </w:pPr>
            <w:hyperlink r:id="rId814" w:tooltip="ITU-T Y.4900 Series - Key performance indicators definitions for smart sustainable cities" w:history="1">
              <w:r w:rsidR="00A11163" w:rsidRPr="004567E2">
                <w:rPr>
                  <w:rStyle w:val="Hyperlink"/>
                  <w:rFonts w:ascii="Times New Roman" w:hAnsi="Times New Roman" w:cs="Times New Roman"/>
                  <w:sz w:val="24"/>
                  <w:szCs w:val="24"/>
                </w:rPr>
                <w:t>Y Suppl. 39: ITU-T Y.4900 Series “Key performance indicators definitions for smart sustainable cities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provides a general overview of a key set of indicators related to the use of information and communication technology (ICT) and corresponding impacts on city sustainability in smart sustainable cities (SSC). It is intended for an audience of SSC decision-makers and strategists, interested in gaining a more in-depth understanding of existing knowledge and approaches to indexes and KPIs for SSC. This Supplement illustrates the vast body of resources gathered on the evaluation index systems of smart cities and KPIs for sustainable cities, among others, that served as a background for the development of related series of KPIs Recommendations and Supplements. The resources presented in this Supplement were analysed with respect to common elements, and a set of indicators focusing on ICT and its contribution to smart sustainable cites was developed.</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9.1, 11.3</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TechWatch</w:t>
            </w:r>
          </w:p>
        </w:tc>
        <w:tc>
          <w:tcPr>
            <w:tcW w:w="8278" w:type="dxa"/>
          </w:tcPr>
          <w:p w:rsidR="00A11163" w:rsidRPr="004567E2" w:rsidRDefault="007835EF" w:rsidP="00A11163">
            <w:pPr>
              <w:rPr>
                <w:rStyle w:val="Hyperlink"/>
                <w:rFonts w:ascii="Times New Roman" w:hAnsi="Times New Roman" w:cs="Times New Roman"/>
                <w:sz w:val="24"/>
                <w:szCs w:val="24"/>
              </w:rPr>
            </w:pPr>
            <w:hyperlink r:id="rId815" w:history="1">
              <w:r w:rsidR="00A11163" w:rsidRPr="004567E2">
                <w:rPr>
                  <w:rStyle w:val="Hyperlink"/>
                  <w:rFonts w:ascii="Times New Roman" w:hAnsi="Times New Roman" w:cs="Times New Roman"/>
                  <w:sz w:val="24"/>
                  <w:szCs w:val="24"/>
                </w:rPr>
                <w:t>Technological Watch Report “Location matters: Spatial standards for the Internet of Things”</w:t>
              </w:r>
            </w:hyperlink>
            <w:r w:rsidR="00A11163" w:rsidRPr="004567E2">
              <w:rPr>
                <w:rFonts w:ascii="Times New Roman" w:hAnsi="Times New Roman" w:cs="Times New Roman"/>
                <w:sz w:val="24"/>
                <w:szCs w:val="24"/>
              </w:rPr>
              <w:t xml:space="preserve"> looks at the global effort to weave different sources and formats of spatial information together so that they can be useful to people wherever they are and whatever they are doing.</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C4</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9.1, 11.3</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816" w:history="1">
              <w:r w:rsidR="00A11163" w:rsidRPr="004567E2">
                <w:rPr>
                  <w:rStyle w:val="Hyperlink"/>
                  <w:rFonts w:ascii="Times New Roman" w:hAnsi="Times New Roman" w:cs="Times New Roman"/>
                  <w:sz w:val="24"/>
                  <w:szCs w:val="24"/>
                </w:rPr>
                <w:t>Recommendation ITU-T E.119 “Requirements for safety confirmation and broadcast message service for disaster relief”</w:t>
              </w:r>
            </w:hyperlink>
            <w:r w:rsidR="00A11163" w:rsidRPr="004567E2">
              <w:rPr>
                <w:rFonts w:ascii="Times New Roman" w:hAnsi="Times New Roman" w:cs="Times New Roman"/>
                <w:sz w:val="24"/>
                <w:szCs w:val="24"/>
              </w:rPr>
              <w:t xml:space="preserve"> describes the requirements for safety confirmation and broadcast messaging for disaster relief, which can realize public organizations’ business continuity plans (BCP) and can, to the best of their ability, help protect lives and property during a disaster.</w:t>
            </w:r>
            <w:r w:rsidR="00A11163" w:rsidRPr="004567E2">
              <w:rPr>
                <w:rFonts w:ascii="Times New Roman" w:hAnsi="Times New Roman" w:cs="Times New Roman"/>
                <w:sz w:val="24"/>
                <w:szCs w:val="24"/>
              </w:rPr>
              <w:br/>
              <w:t xml:space="preserve">In the event of a disaster, it is very important that public organizations, such as telecommunication companies, electric power companies, hospitals, fire departments and local governments continue to operate and help save the lives of victims. Confirmation of the safety of officials or company staff is important in order to continue operating their necessary tasks. In addition, to be effective, </w:t>
            </w:r>
            <w:r w:rsidR="00A11163" w:rsidRPr="004567E2">
              <w:rPr>
                <w:rFonts w:ascii="Times New Roman" w:hAnsi="Times New Roman" w:cs="Times New Roman"/>
                <w:sz w:val="24"/>
                <w:szCs w:val="24"/>
              </w:rPr>
              <w:lastRenderedPageBreak/>
              <w:t>broadcast message systems should automatically confirm the status of officials or staff.</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9.1, 11.3</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SG15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817" w:history="1">
              <w:r w:rsidR="00A11163" w:rsidRPr="004567E2">
                <w:rPr>
                  <w:rStyle w:val="Hyperlink"/>
                  <w:rFonts w:ascii="Times New Roman" w:hAnsi="Times New Roman" w:cs="Times New Roman"/>
                  <w:sz w:val="24"/>
                  <w:szCs w:val="24"/>
                </w:rPr>
                <w:t>ITU</w:t>
              </w:r>
              <w:r w:rsidR="00A11163" w:rsidRPr="004567E2">
                <w:rPr>
                  <w:rStyle w:val="Hyperlink"/>
                  <w:rFonts w:ascii="Times New Roman" w:hAnsi="Times New Roman" w:cs="Times New Roman"/>
                  <w:bCs/>
                  <w:iCs/>
                  <w:sz w:val="24"/>
                  <w:szCs w:val="24"/>
                </w:rPr>
                <w:t>-T L.sup.35 to L-300series “Framework of disaster management for network resilience and recovery”</w:t>
              </w:r>
            </w:hyperlink>
            <w:r w:rsidR="00A11163" w:rsidRPr="004567E2">
              <w:rPr>
                <w:rFonts w:ascii="Times New Roman" w:hAnsi="Times New Roman" w:cs="Times New Roman"/>
                <w:bCs/>
                <w:iCs/>
                <w:sz w:val="24"/>
                <w:szCs w:val="24"/>
              </w:rPr>
              <w:t xml:space="preserve"> provides a framework of disaster management for improving network resilience and recovery (NRR) by reviewing high-level objectives of NRR against disasters, identifying several approaches (i.e., redundancy, congestion control, repair, substitute, and robustness) that meet the objectives, and clarifying the approaches with regard to the effective time frame (i.e., phase) for disaster recovery. Based on the identified approaches with effective disaster recovery phases, information about relevant technologies, including already available ones and emerging ones, is also provided.</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9.1, 11.3</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hAnsi="Times New Roman" w:cs="Times New Roman"/>
                <w:b/>
                <w:iCs/>
                <w:sz w:val="24"/>
                <w:szCs w:val="24"/>
              </w:rPr>
            </w:pPr>
            <w:hyperlink r:id="rId818" w:history="1">
              <w:r w:rsidR="00A11163" w:rsidRPr="004567E2">
                <w:rPr>
                  <w:rStyle w:val="Hyperlink"/>
                  <w:rFonts w:ascii="Times New Roman" w:eastAsia="Times New Roman" w:hAnsi="Times New Roman" w:cs="Times New Roman"/>
                  <w:sz w:val="24"/>
                  <w:szCs w:val="24"/>
                </w:rPr>
                <w:t>Recommendation ITU-T X.1303 “Common alerting protocol (CAP 1.1)”</w:t>
              </w:r>
            </w:hyperlink>
            <w:r w:rsidR="00A11163" w:rsidRPr="004567E2">
              <w:rPr>
                <w:rFonts w:ascii="Times New Roman" w:eastAsia="Times New Roman" w:hAnsi="Times New Roman" w:cs="Times New Roman"/>
                <w:sz w:val="24"/>
                <w:szCs w:val="24"/>
              </w:rPr>
              <w:t xml:space="preserve">: </w:t>
            </w:r>
            <w:r w:rsidR="00A11163" w:rsidRPr="004567E2">
              <w:rPr>
                <w:rFonts w:ascii="Times New Roman" w:hAnsi="Times New Roman" w:cs="Times New Roman"/>
                <w:sz w:val="24"/>
                <w:szCs w:val="24"/>
              </w:rPr>
              <w:t>The common alerting protocol (CAP) is a simple but general format for exchanging all-hazard emergency alerts and public warnings over all kinds of networks. CAP allows a consistent warning message to be disseminated simultaneously over many different warning systems, thus increasing warning effectiveness while simplifying the warning task. CAP also facilitates the detection of emerging patterns in local warnings of various kinds, such as might indicate an undetected hazard or hostile act. CAP also provides a template for effective warning messages based on best practices identified in academic research and real-world experience. ITU-T Recommendation X.1303 also provides both an XSD specification and an equivalent ASN.1 specification (that permits a compact binary encoding) and allows the use of ASN.1 as well as XSD tools for the generation and processing of CAP messages. This Recommendation enables existing systems, such as H.323 systems, to more readily encode, transport and decode CAP messages.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C5,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9.1, 11.3</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eastAsia="Times New Roman" w:hAnsi="Times New Roman" w:cs="Times New Roman"/>
                <w:sz w:val="24"/>
                <w:szCs w:val="24"/>
              </w:rPr>
            </w:pPr>
            <w:hyperlink r:id="rId819" w:history="1">
              <w:r w:rsidR="00A11163" w:rsidRPr="004567E2">
                <w:rPr>
                  <w:rStyle w:val="Hyperlink"/>
                  <w:rFonts w:ascii="Times New Roman" w:eastAsia="Times New Roman" w:hAnsi="Times New Roman" w:cs="Times New Roman"/>
                  <w:sz w:val="24"/>
                  <w:szCs w:val="24"/>
                </w:rPr>
                <w:t>Recommendation ITU-T X.1303bis “Common alerting protocol (CAP 1.2)”</w:t>
              </w:r>
            </w:hyperlink>
            <w:r w:rsidR="00A11163" w:rsidRPr="004567E2">
              <w:rPr>
                <w:rFonts w:ascii="Times New Roman" w:eastAsia="Times New Roman" w:hAnsi="Times New Roman" w:cs="Times New Roman"/>
                <w:sz w:val="24"/>
                <w:szCs w:val="24"/>
              </w:rPr>
              <w:t xml:space="preserve">: The common alerting protocol (CAP) is a simple but general format for exchanging all-hazard emergency alerts and public warnings over all kinds of networks. CAP allows a consistent warning message to be disseminated simultaneously over many </w:t>
            </w:r>
            <w:r w:rsidR="00A11163" w:rsidRPr="004567E2">
              <w:rPr>
                <w:rFonts w:ascii="Times New Roman" w:eastAsia="Times New Roman" w:hAnsi="Times New Roman" w:cs="Times New Roman"/>
                <w:sz w:val="24"/>
                <w:szCs w:val="24"/>
              </w:rPr>
              <w:lastRenderedPageBreak/>
              <w:t>different warning systems, thus increasing warning effectiveness while simplifying the warning task. CAP also facilitates the detection of emerging patterns in local warnings of various kinds, such as an undetected hazard or hostile act might indicate. CAP also provides a template for effective warning messages based on best practices identified in academic research and real-world experience.</w:t>
            </w:r>
          </w:p>
          <w:p w:rsidR="00A11163" w:rsidRPr="004567E2" w:rsidRDefault="00A11163" w:rsidP="00A11163">
            <w:pPr>
              <w:widowControl w:val="0"/>
              <w:rPr>
                <w:rFonts w:ascii="Times New Roman" w:eastAsia="Times New Roman" w:hAnsi="Times New Roman" w:cs="Times New Roman"/>
                <w:sz w:val="24"/>
                <w:szCs w:val="24"/>
              </w:rPr>
            </w:pPr>
            <w:r w:rsidRPr="004567E2">
              <w:rPr>
                <w:rFonts w:ascii="Times New Roman" w:eastAsia="Times New Roman" w:hAnsi="Times New Roman" w:cs="Times New Roman"/>
                <w:sz w:val="24"/>
                <w:szCs w:val="24"/>
              </w:rPr>
              <w:t>Recommendation ITU-T X.1303 bis also provides both an XML schema definition (XSD) specification and an equivalent ASN.1 specification (which permits a compact binary encoding) and allows the use of abstract syntax notation one (ASN.1) as well as XSD tools for the generation and processing of CAP messages. This Recommendation enables existing systems, such as ITU-T H.323 systems, to more readily encode, transport and decode CAP messages.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C5,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9.1, 11.3</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20 results</w:t>
            </w:r>
          </w:p>
        </w:tc>
        <w:tc>
          <w:tcPr>
            <w:tcW w:w="8278" w:type="dxa"/>
          </w:tcPr>
          <w:p w:rsidR="00A11163" w:rsidRPr="004567E2" w:rsidRDefault="00A11163" w:rsidP="00A11163">
            <w:pPr>
              <w:widowControl w:val="0"/>
              <w:rPr>
                <w:rFonts w:ascii="Times New Roman" w:hAnsi="Times New Roman" w:cs="Times New Roman"/>
                <w:sz w:val="24"/>
                <w:szCs w:val="24"/>
              </w:rPr>
            </w:pPr>
            <w:r w:rsidRPr="004567E2">
              <w:rPr>
                <w:rFonts w:ascii="Times New Roman" w:hAnsi="Times New Roman" w:cs="Times New Roman"/>
                <w:sz w:val="24"/>
                <w:szCs w:val="24"/>
              </w:rPr>
              <w:t xml:space="preserve">Co-work of ITU-T SG5 and SG20 on development of ITU-T </w:t>
            </w:r>
            <w:r w:rsidRPr="004567E2">
              <w:rPr>
                <w:rFonts w:ascii="Times New Roman" w:hAnsi="Times New Roman" w:cs="Times New Roman"/>
                <w:iCs/>
                <w:sz w:val="24"/>
                <w:szCs w:val="24"/>
              </w:rPr>
              <w:t>Recommendations</w:t>
            </w:r>
            <w:r w:rsidRPr="004567E2">
              <w:rPr>
                <w:rFonts w:ascii="Times New Roman" w:hAnsi="Times New Roman" w:cs="Times New Roman"/>
                <w:sz w:val="24"/>
                <w:szCs w:val="24"/>
              </w:rPr>
              <w:t xml:space="preserve"> to educate the environmental impact of ICT and how IoT can be applied for the sustainable growth of communities</w:t>
            </w:r>
          </w:p>
          <w:p w:rsidR="00A11163" w:rsidRPr="004567E2" w:rsidRDefault="00A11163" w:rsidP="00A11163">
            <w:pPr>
              <w:rPr>
                <w:rStyle w:val="Hyperlink"/>
                <w:rFonts w:ascii="Times New Roman" w:hAnsi="Times New Roman" w:cs="Times New Roman"/>
                <w:sz w:val="24"/>
                <w:szCs w:val="24"/>
              </w:rPr>
            </w:pPr>
            <w:r w:rsidRPr="004567E2">
              <w:rPr>
                <w:rFonts w:ascii="Times New Roman" w:hAnsi="Times New Roman" w:cs="Times New Roman"/>
                <w:bCs/>
                <w:iCs/>
                <w:sz w:val="24"/>
                <w:szCs w:val="24"/>
              </w:rPr>
              <w:t>ITU-T SG5 and SG20 are developing Recommendations to reduce the environmental impact of ICT and how Internet of Things can be applied for the sustainable growth of communities. In the area of emergency communications, a number of Recommendations have been developed for call priority schemes that ensure that relief workers can get communication lines when they need to, whether using traditional or next generation communication networks. Complementary to the need to provide call priority during emergencies is the ability to deliver warnings to users, and standards are fundamental to ensure that warnings are delivered in a timely way, uncorrupted from the source to the end users – no matter how they can be reached.</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11.b</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820" w:tooltip="Universal power adapter and charger solution for mobile terminals and other hand-held ICT devices" w:history="1">
              <w:r w:rsidR="00A11163" w:rsidRPr="004567E2">
                <w:rPr>
                  <w:rStyle w:val="Hyperlink"/>
                  <w:rFonts w:ascii="Times New Roman" w:hAnsi="Times New Roman" w:cs="Times New Roman"/>
                  <w:sz w:val="24"/>
                  <w:szCs w:val="24"/>
                </w:rPr>
                <w:t>Recommendation ITU-T L.1000 “Universal power adapter and charger solution for mobile terminals and other hand-held ICT devices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provides high level requirements for a universal power adapter and charger solution that will reduce the number of power adapters and chargers produced and recycled by widening their application to more devices and increasing their lifetime. The solution also aims to </w:t>
            </w:r>
            <w:r w:rsidR="00A11163" w:rsidRPr="004567E2">
              <w:rPr>
                <w:rFonts w:ascii="Times New Roman" w:hAnsi="Times New Roman" w:cs="Times New Roman"/>
                <w:sz w:val="24"/>
                <w:szCs w:val="24"/>
              </w:rPr>
              <w:lastRenderedPageBreak/>
              <w:t>reduce energy consumption. The longer life cycle and possibility of avoiding device duplication reduces the demand on raw materials and waste. The universal power adapter and charger solution is designed to serve the vast majority of mobile terminals and other ICT devices.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9.1, 12.4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Fonts w:ascii="Times New Roman" w:hAnsi="Times New Roman" w:cs="Times New Roman"/>
                <w:bCs/>
                <w:iCs/>
                <w:sz w:val="24"/>
                <w:szCs w:val="24"/>
              </w:rPr>
            </w:pPr>
            <w:hyperlink r:id="rId821" w:tooltip="External universal power adapter solutions for stationary information and communication technology devices" w:history="1">
              <w:r w:rsidR="00A11163" w:rsidRPr="004567E2">
                <w:rPr>
                  <w:rStyle w:val="Hyperlink"/>
                  <w:rFonts w:ascii="Times New Roman" w:hAnsi="Times New Roman" w:cs="Times New Roman"/>
                  <w:sz w:val="24"/>
                  <w:szCs w:val="24"/>
                </w:rPr>
                <w:t xml:space="preserve">Recommendation </w:t>
              </w:r>
              <w:r w:rsidR="00A11163" w:rsidRPr="004567E2">
                <w:rPr>
                  <w:rFonts w:ascii="Times New Roman" w:hAnsi="Times New Roman" w:cs="Times New Roman"/>
                  <w:color w:val="0000FF"/>
                  <w:sz w:val="24"/>
                  <w:szCs w:val="24"/>
                  <w:u w:val="single"/>
                </w:rPr>
                <w:t>ITU-</w:t>
              </w:r>
              <w:r w:rsidR="00A11163" w:rsidRPr="004567E2">
                <w:rPr>
                  <w:rStyle w:val="Hyperlink"/>
                  <w:rFonts w:ascii="Times New Roman" w:hAnsi="Times New Roman" w:cs="Times New Roman"/>
                  <w:sz w:val="24"/>
                  <w:szCs w:val="24"/>
                </w:rPr>
                <w:t>T L.1001 “External universal power adapter solutions for stationary information and communication technology devices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provides requirements for a universal power adapter solution (UPA) for stationary information and communication technology (ICT) devices that will reduce the number of power adapters that are produced by widening their application by more devices, thus enabling their reuse and increasing their life expectancy.</w:t>
            </w:r>
            <w:r w:rsidR="00A11163" w:rsidRPr="004567E2">
              <w:rPr>
                <w:rFonts w:ascii="Times New Roman" w:hAnsi="Times New Roman" w:cs="Times New Roman"/>
                <w:sz w:val="24"/>
                <w:szCs w:val="24"/>
              </w:rPr>
              <w:br/>
              <w:t>The solution also aims to reduce energy consumption. The longer the life cycle and possibility of avoiding device duplication reduces the demand on raw materials and limits the amount of e-waste.</w:t>
            </w:r>
            <w:r w:rsidR="00A11163" w:rsidRPr="004567E2">
              <w:rPr>
                <w:rFonts w:ascii="Times New Roman" w:hAnsi="Times New Roman" w:cs="Times New Roman"/>
                <w:sz w:val="24"/>
                <w:szCs w:val="24"/>
              </w:rPr>
              <w:br/>
              <w:t>The universal power adapter solution for stationary ICT equipment is designed to serve the vast majority of ICT devices.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9.1, 12.4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Fonts w:ascii="Times New Roman" w:hAnsi="Times New Roman" w:cs="Times New Roman"/>
                <w:bCs/>
                <w:iCs/>
                <w:sz w:val="24"/>
                <w:szCs w:val="24"/>
              </w:rPr>
            </w:pPr>
            <w:hyperlink r:id="rId822" w:tooltip="External universal power adapter solutions for portable information and communication technology devices" w:history="1">
              <w:r w:rsidR="00A11163" w:rsidRPr="004567E2">
                <w:rPr>
                  <w:rStyle w:val="Hyperlink"/>
                  <w:rFonts w:ascii="Times New Roman" w:hAnsi="Times New Roman" w:cs="Times New Roman"/>
                  <w:sz w:val="24"/>
                  <w:szCs w:val="24"/>
                </w:rPr>
                <w:t>Recommendation ITU-T L.1002 “External universal power adapter solutions for portable information and communication technology devices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defines the requirements, and provides guidelines on the environmental aspects, of universal power adapter solutions (UPA) designed for use with portable information and communication technology (ICT) devices. It is complementary to Recommendations ITU-T L.1000 and ITU-T L.1001 and aims to cover the widest possible range of ICT devices for portable use within identified voltage and power ranges. It firstly describes basic configurations of UPAs, consisting of a power adapter block with a detachable input cable and a detachable output cable to the ICT device. Then, it defines different general recommendations for UPAs and their interfaces, including cables, connectors, voltage, current, ripple noise, energy efficiency, no-load power, safety, electromagnetic compatibility, resistibility and eco-environmental specifications. All the recommendations have been set with the aim to reduce e-waste and increase usability.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9.1, 12.4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823" w:tooltip="Green battery solutions for mobile phones and other hand-held information and communication technology devices" w:history="1">
              <w:r w:rsidR="00A11163" w:rsidRPr="004567E2">
                <w:rPr>
                  <w:rStyle w:val="Hyperlink"/>
                  <w:rFonts w:ascii="Times New Roman" w:hAnsi="Times New Roman" w:cs="Times New Roman"/>
                  <w:sz w:val="24"/>
                  <w:szCs w:val="24"/>
                </w:rPr>
                <w:t>Recommendation ITU-T L.1010 “Green battery solutions for mobile phones and other hand-held information and communication technology devices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defines a minimum set of parameters necessary to identify green battery solutions that should be considered by developers/manufacturers to reduce the future environmental impact of battery use. The provision of so-called green batteries is to extend the lifetime of handsets, reduce global resources consumption and preserve the environment.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9.1, 12.4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824" w:tooltip="Procedure for recycling rare metals in information and communication technology goods" w:history="1">
              <w:r w:rsidR="00A11163" w:rsidRPr="004567E2">
                <w:rPr>
                  <w:rStyle w:val="Hyperlink"/>
                  <w:rFonts w:ascii="Times New Roman" w:hAnsi="Times New Roman" w:cs="Times New Roman"/>
                  <w:sz w:val="24"/>
                  <w:szCs w:val="24"/>
                </w:rPr>
                <w:t>Recommendation ITU-T L.1100 “Procedure for recycling rare metals in information and communication technology goods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provides information on the recycling procedures of rare metals in information and communication technology (ICT) goods. It also defines a communication format for providing recycling information of rare metals contained in ICT goods.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9.1, 12.4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825" w:tooltip="Measurement methods to characterize rare metals in information and communication technology goods" w:history="1">
              <w:r w:rsidR="00A11163" w:rsidRPr="004567E2">
                <w:rPr>
                  <w:rStyle w:val="Hyperlink"/>
                  <w:rFonts w:ascii="Times New Roman" w:hAnsi="Times New Roman" w:cs="Times New Roman"/>
                  <w:sz w:val="24"/>
                  <w:szCs w:val="24"/>
                </w:rPr>
                <w:t>Recommendation ITU-T L.1101 “Measurement methods to characterize rare metals in information and communication technology goods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provides reference characterization procedures for efficient recycling of rare metals by using XRF and ICP-MS measurement methods.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9.1, 12.4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826" w:history="1">
              <w:r w:rsidR="00A11163" w:rsidRPr="004567E2">
                <w:rPr>
                  <w:rStyle w:val="Hyperlink"/>
                  <w:rFonts w:ascii="Times New Roman" w:hAnsi="Times New Roman" w:cs="Times New Roman"/>
                  <w:sz w:val="24"/>
                  <w:szCs w:val="24"/>
                </w:rPr>
                <w:t>Recommendation ITU-T L.1102 “Use of printed labels for communicating information on rare metals in information and communication technology goods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describes printed label methods to provide information on rare metals contained in information and communication technology (ICT) goods, and includes requirements specified in Recommendations ITU-T L.1100 and ITU-T L.1101 on the disclosure of rare metals information to consumers and recyclers.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9.1, 12.4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827" w:tooltip="Guidelines for developing a sustainable e-waste management system" w:history="1">
              <w:r w:rsidR="00A11163" w:rsidRPr="004567E2">
                <w:rPr>
                  <w:rStyle w:val="Hyperlink"/>
                  <w:rFonts w:ascii="Times New Roman" w:hAnsi="Times New Roman" w:cs="Times New Roman"/>
                  <w:sz w:val="24"/>
                  <w:szCs w:val="24"/>
                </w:rPr>
                <w:t>ITU-T L Suppl. 4 “Guidelines for developing a sustainable e-waste management system</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provides a set of guidelines that countries can refer to when designing or adjusting their e-waste management systems. It provides guidance on policy/legal framework, collection mechanisms, financial mechanisms and engagement with all relevant stakeholders.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9.1, 12.4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828" w:tooltip="Life-cycle management of ICT goods" w:history="1">
              <w:r w:rsidR="00A11163" w:rsidRPr="004567E2">
                <w:rPr>
                  <w:rStyle w:val="Hyperlink"/>
                  <w:rFonts w:ascii="Times New Roman" w:hAnsi="Times New Roman" w:cs="Times New Roman"/>
                  <w:sz w:val="24"/>
                  <w:szCs w:val="24"/>
                </w:rPr>
                <w:t>ITU-T L Suppl. 5 “Life-cycle management of ICT goods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provide information for the practical implementation of the life-cycle approach in companies, facilities and </w:t>
            </w:r>
            <w:r w:rsidR="00A11163" w:rsidRPr="004567E2">
              <w:rPr>
                <w:rFonts w:ascii="Times New Roman" w:hAnsi="Times New Roman" w:cs="Times New Roman"/>
                <w:sz w:val="24"/>
                <w:szCs w:val="24"/>
              </w:rPr>
              <w:lastRenderedPageBreak/>
              <w:t>plants as well as distributors, including chapters on best practices with a specific focus on material usage and selection.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9.1, 12.4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829" w:tooltip="Green public ICT procurement " w:history="1">
              <w:r w:rsidR="00A11163" w:rsidRPr="004567E2">
                <w:rPr>
                  <w:rStyle w:val="Hyperlink"/>
                  <w:rFonts w:ascii="Times New Roman" w:hAnsi="Times New Roman" w:cs="Times New Roman"/>
                  <w:sz w:val="24"/>
                  <w:szCs w:val="24"/>
                </w:rPr>
                <w:t xml:space="preserve">ITU-T L Suppl. 20 “Green public ICT procurement” </w:t>
              </w:r>
            </w:hyperlink>
            <w:r w:rsidR="00A11163" w:rsidRPr="004567E2">
              <w:rPr>
                <w:rFonts w:ascii="Times New Roman" w:hAnsi="Times New Roman" w:cs="Times New Roman"/>
                <w:sz w:val="24"/>
                <w:szCs w:val="24"/>
              </w:rPr>
              <w:t>provides technical guidance to public authorities to improve their procurement practices to purchase green ICT goods and services. To this end, this Supplement collects and presents relevant standards, ecolabels and certifications from different organizations to help public authorities achieve green ICT public procurement practices. The guidance can be also used by private organizations interested in improving their green ICT procurement practice.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9.1, 12.4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830" w:history="1">
              <w:r w:rsidR="00A11163" w:rsidRPr="004567E2">
                <w:rPr>
                  <w:rStyle w:val="Hyperlink"/>
                  <w:rFonts w:ascii="Times New Roman" w:hAnsi="Times New Roman" w:cs="Times New Roman"/>
                  <w:sz w:val="24"/>
                  <w:szCs w:val="24"/>
                </w:rPr>
                <w:t>ITU-T L Suppl. 21 “Implementation guidance for small- and medium-sized enterprises on information and communication technology supply chain due diligence concerning conflict minerals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provides a set of guidelines to assist ICT downstream small and medium-sized enterprises (SME) in developing and implementing a comprehensive conflict minerals management system, based on the “Due diligence guidance for responsible supply chains of minerals from conflict-affected and high-risk areas” of the Organisation for Economic Co-operation and Development Guidance.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9.1, 12.4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831" w:tooltip="Supplement on success stories on e-waste management" w:history="1">
              <w:r w:rsidR="00A11163" w:rsidRPr="004567E2">
                <w:rPr>
                  <w:rStyle w:val="Hyperlink"/>
                  <w:rFonts w:ascii="Times New Roman" w:hAnsi="Times New Roman" w:cs="Times New Roman"/>
                  <w:sz w:val="24"/>
                  <w:szCs w:val="24"/>
                </w:rPr>
                <w:t>ITU-T L Suppl. 27 “Supplement on success stories on e-waste management</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sheds light on E-waste management success stories in different countries. The Supplement covers different policies, legislation, initiatives, and different stakeholders involvement (government, private sector, NGOS, and informal sector). The guidelines introduced in this Supplement apply to all categories of Waste Electrical and Electronic Equipment. The Supplement presents some countries’ and regions’ success stories of E-waste management that could be used as a best practice guidance that may be adopted by countries or regions working on developing adequate e-waste management systems to develop or improve their processes and procedures.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9.1, 12.4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832" w:history="1">
              <w:r w:rsidR="00A11163" w:rsidRPr="004567E2">
                <w:rPr>
                  <w:rStyle w:val="Hyperlink"/>
                  <w:rFonts w:ascii="Times New Roman" w:hAnsi="Times New Roman" w:cs="Times New Roman"/>
                  <w:sz w:val="24"/>
                  <w:szCs w:val="24"/>
                </w:rPr>
                <w:t>ITU-T L Suppl. 28 “Circular economy in information and communication technology; definition of approaches, concepts and metrics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investigates current </w:t>
            </w:r>
            <w:r w:rsidR="00A11163" w:rsidRPr="004567E2">
              <w:rPr>
                <w:rFonts w:ascii="Times New Roman" w:hAnsi="Times New Roman" w:cs="Times New Roman"/>
                <w:sz w:val="24"/>
                <w:szCs w:val="24"/>
              </w:rPr>
              <w:lastRenderedPageBreak/>
              <w:t>approaches, concepts and metrics of circular economy and resource efficiency and their applicability for the ICT infrastructure goods. The scope of the present document includes the following aspects: upgradability, repairability, removability, durability, reusability, recyclability, recoverability, refurbishability, remanufactureability. The following additional parameters, indicators and metrics are included: recycled content, use of critical raw materials, proportion of re-used parts.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9.1, 12.4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833" w:history="1">
              <w:r w:rsidR="00A11163" w:rsidRPr="004567E2">
                <w:rPr>
                  <w:rStyle w:val="Hyperlink"/>
                  <w:rFonts w:ascii="Times New Roman" w:hAnsi="Times New Roman" w:cs="Times New Roman"/>
                  <w:sz w:val="24"/>
                  <w:szCs w:val="24"/>
                </w:rPr>
                <w:t>ITU-T L Suppl. 32 “Supplement for eco-specifications and rating criteria for mobile phones eco-rating programmes”</w:t>
              </w:r>
            </w:hyperlink>
            <w:r w:rsidR="00A11163" w:rsidRPr="004567E2">
              <w:rPr>
                <w:rFonts w:ascii="Times New Roman" w:hAnsi="Times New Roman" w:cs="Times New Roman"/>
                <w:sz w:val="24"/>
                <w:szCs w:val="24"/>
              </w:rPr>
              <w:t xml:space="preserve"> outlines a baseline assessment framework and defines a minimum set of criteria to be considered when assessing the environmental performance of mobile phones. This Supplement is designed to enable manufacturers to assess mobile phones in order to demonstrate a minimum level of environmental performance and also to achieve enhanced environmental performance.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9.1, 12.4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834" w:history="1">
              <w:r w:rsidR="00A11163" w:rsidRPr="004567E2">
                <w:rPr>
                  <w:rStyle w:val="Hyperlink"/>
                  <w:rFonts w:ascii="Times New Roman" w:hAnsi="Times New Roman" w:cs="Times New Roman"/>
                  <w:sz w:val="24"/>
                  <w:szCs w:val="24"/>
                </w:rPr>
                <w:t>ITU-T L Suppl. 34 “Example of hybrid lice cycle assessment of the aggregated second order effects of selected information and communication technology services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presents three case studies on the LCA of the second order effects of some selected ICT services running upon three different primary subscription services: the 4</w:t>
            </w:r>
            <w:r w:rsidR="00A11163" w:rsidRPr="004567E2">
              <w:rPr>
                <w:rFonts w:ascii="Times New Roman" w:hAnsi="Times New Roman" w:cs="Times New Roman"/>
                <w:sz w:val="24"/>
                <w:szCs w:val="24"/>
                <w:vertAlign w:val="superscript"/>
              </w:rPr>
              <w:t>th</w:t>
            </w:r>
            <w:r w:rsidR="00A11163" w:rsidRPr="004567E2">
              <w:rPr>
                <w:rFonts w:ascii="Times New Roman" w:hAnsi="Times New Roman" w:cs="Times New Roman"/>
                <w:sz w:val="24"/>
                <w:szCs w:val="24"/>
              </w:rPr>
              <w:t xml:space="preserve"> generation Long Term Evolution (4G LTE) service, the 3</w:t>
            </w:r>
            <w:r w:rsidR="00A11163" w:rsidRPr="004567E2">
              <w:rPr>
                <w:rFonts w:ascii="Times New Roman" w:hAnsi="Times New Roman" w:cs="Times New Roman"/>
                <w:sz w:val="24"/>
                <w:szCs w:val="24"/>
                <w:vertAlign w:val="superscript"/>
              </w:rPr>
              <w:t>rd</w:t>
            </w:r>
            <w:r w:rsidR="00A11163" w:rsidRPr="004567E2">
              <w:rPr>
                <w:rFonts w:ascii="Times New Roman" w:hAnsi="Times New Roman" w:cs="Times New Roman"/>
                <w:sz w:val="24"/>
                <w:szCs w:val="24"/>
              </w:rPr>
              <w:t xml:space="preserve"> Generation Wideband Code Division Multiple Access (3G W-CDMA) service, and an optical fixed IP network (broadband NW), all provided by Nippon Telegraph and Telephone Corporation (NTT) groups in Japan.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9.1, 12.4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Fonts w:ascii="Times New Roman" w:hAnsi="Times New Roman" w:cs="Times New Roman"/>
                <w:b/>
                <w:iCs/>
                <w:sz w:val="24"/>
                <w:szCs w:val="24"/>
              </w:rPr>
            </w:pPr>
            <w:hyperlink r:id="rId835" w:history="1">
              <w:r w:rsidR="00A11163" w:rsidRPr="004567E2">
                <w:rPr>
                  <w:rStyle w:val="Hyperlink"/>
                  <w:rFonts w:ascii="Times New Roman" w:hAnsi="Times New Roman" w:cs="Times New Roman"/>
                  <w:sz w:val="24"/>
                  <w:szCs w:val="24"/>
                </w:rPr>
                <w:t>Technical Report on Counterfeit ICT Equipment</w:t>
              </w:r>
            </w:hyperlink>
            <w:r w:rsidR="00A11163" w:rsidRPr="004567E2">
              <w:rPr>
                <w:rFonts w:ascii="Times New Roman" w:hAnsi="Times New Roman" w:cs="Times New Roman"/>
                <w:sz w:val="24"/>
                <w:szCs w:val="24"/>
              </w:rPr>
              <w:t xml:space="preserve"> provides background information on the nature of the issues related to the counterfeiting of information and communication technology (ICT) equipment, a review of the international conventions covering this type of infringement of intellectual property rights and the activities of organizations in the enforcement of these rights, and a description of a range of means to combat the trade in counterfeit products. In addition, a number of national and regional initiatives to combat the counterfeiting of mobile </w:t>
            </w:r>
            <w:r w:rsidR="00A11163" w:rsidRPr="004567E2">
              <w:rPr>
                <w:rFonts w:ascii="Times New Roman" w:hAnsi="Times New Roman" w:cs="Times New Roman"/>
                <w:sz w:val="24"/>
                <w:szCs w:val="24"/>
              </w:rPr>
              <w:lastRenderedPageBreak/>
              <w:t>devices are described in Annex A.</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C5,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9.1, 12.4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Fonts w:ascii="Times New Roman" w:hAnsi="Times New Roman" w:cs="Times New Roman"/>
                <w:b/>
                <w:iCs/>
                <w:sz w:val="24"/>
                <w:szCs w:val="24"/>
              </w:rPr>
            </w:pPr>
            <w:hyperlink r:id="rId836" w:history="1">
              <w:r w:rsidR="00A11163" w:rsidRPr="004567E2">
                <w:rPr>
                  <w:rStyle w:val="Hyperlink"/>
                  <w:rFonts w:ascii="Times New Roman" w:hAnsi="Times New Roman" w:cs="Times New Roman"/>
                  <w:bCs/>
                  <w:iCs/>
                  <w:sz w:val="24"/>
                  <w:szCs w:val="24"/>
                </w:rPr>
                <w:t>Technical Report</w:t>
              </w:r>
              <w:r w:rsidR="00A11163" w:rsidRPr="004567E2">
                <w:rPr>
                  <w:rStyle w:val="Hyperlink"/>
                  <w:rFonts w:ascii="Times New Roman" w:hAnsi="Times New Roman" w:cs="Times New Roman"/>
                  <w:bCs/>
                  <w:sz w:val="24"/>
                  <w:szCs w:val="24"/>
                </w:rPr>
                <w:t xml:space="preserve"> </w:t>
              </w:r>
              <w:r w:rsidR="00A11163" w:rsidRPr="004567E2">
                <w:rPr>
                  <w:rStyle w:val="Hyperlink"/>
                  <w:rFonts w:ascii="Times New Roman" w:hAnsi="Times New Roman" w:cs="Times New Roman"/>
                  <w:sz w:val="24"/>
                  <w:szCs w:val="24"/>
                </w:rPr>
                <w:t xml:space="preserve">Survey report on counterfeit ICT devices in Africa region </w:t>
              </w:r>
              <w:r w:rsidR="00A11163" w:rsidRPr="004567E2">
                <w:rPr>
                  <w:rFonts w:ascii="Times New Roman" w:hAnsi="Times New Roman" w:cs="Times New Roman"/>
                  <w:sz w:val="24"/>
                  <w:szCs w:val="24"/>
                  <w:lang w:bidi="ar-DZ"/>
                </w:rPr>
                <w:t xml:space="preserve">contains a </w:t>
              </w:r>
              <w:r w:rsidR="00A11163" w:rsidRPr="004567E2">
                <w:rPr>
                  <w:rFonts w:ascii="Times New Roman" w:hAnsi="Times New Roman" w:cs="Times New Roman"/>
                  <w:sz w:val="24"/>
                  <w:szCs w:val="24"/>
                </w:rPr>
                <w:t>survey on Counterfeit ICT Devices in Africa which was aimed at gathering information on challenges, use cases and efforts in place to address the problem of counterfeit ICT devices and collect information from Member States in the Africa to progress the on-going study on Counterfeit ICT devices, in ITU-T Study Group 11 and ITU- D Study Groups. The report explored the perspectives of Africa on counterfeit ICT devices and provides background information on the national initiatives to combat ICT counterfeit devices.</w:t>
              </w:r>
            </w:hyperlink>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 C4,C5,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9.1, 12.4</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837" w:history="1">
              <w:r w:rsidR="00A11163" w:rsidRPr="004567E2">
                <w:rPr>
                  <w:rStyle w:val="Hyperlink"/>
                  <w:rFonts w:ascii="Times New Roman" w:hAnsi="Times New Roman" w:cs="Times New Roman"/>
                  <w:sz w:val="24"/>
                  <w:szCs w:val="24"/>
                </w:rPr>
                <w:t>Recommendation ITU-T E.106 “International Emergency Preference Scheme (IEPS) for disaster relief operations”</w:t>
              </w:r>
            </w:hyperlink>
            <w:r w:rsidR="00A11163" w:rsidRPr="004567E2">
              <w:rPr>
                <w:rFonts w:ascii="Times New Roman" w:hAnsi="Times New Roman" w:cs="Times New Roman"/>
                <w:sz w:val="24"/>
                <w:szCs w:val="24"/>
              </w:rPr>
              <w:t xml:space="preserve"> describes an international preference scheme for the use of public telecommunications by national authorities for emergency and disaster relief operations. The International Emergency Preference Scheme for Disaster Relief Operations (IEPS) is needed when there is a crisis situation causing an increased demand for telecommunications when use of the International Telephone Service may be restricted due to damage, reduced capacity, congestion or faults. In crisis situations there is a requirement for IEPS users of public telecommunications to have preferential treatment.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 results</w:t>
            </w:r>
          </w:p>
        </w:tc>
        <w:tc>
          <w:tcPr>
            <w:tcW w:w="8278" w:type="dxa"/>
          </w:tcPr>
          <w:p w:rsidR="00A11163" w:rsidRPr="004567E2" w:rsidRDefault="007835EF" w:rsidP="00A11163">
            <w:pPr>
              <w:rPr>
                <w:rFonts w:ascii="Times New Roman" w:hAnsi="Times New Roman" w:cs="Times New Roman"/>
                <w:sz w:val="24"/>
                <w:szCs w:val="24"/>
              </w:rPr>
            </w:pPr>
            <w:hyperlink r:id="rId838" w:history="1">
              <w:r w:rsidR="00A11163" w:rsidRPr="004567E2">
                <w:rPr>
                  <w:rStyle w:val="Hyperlink"/>
                  <w:rFonts w:ascii="Times New Roman" w:hAnsi="Times New Roman" w:cs="Times New Roman"/>
                  <w:sz w:val="24"/>
                  <w:szCs w:val="24"/>
                </w:rPr>
                <w:t>Recommendation ITU-T E.107 “Emergency Telecommunications Service (ETS) and interconnection framework for national implementations of ETS”</w:t>
              </w:r>
            </w:hyperlink>
            <w:r w:rsidR="00A11163" w:rsidRPr="004567E2">
              <w:rPr>
                <w:rFonts w:ascii="Times New Roman" w:hAnsi="Times New Roman" w:cs="Times New Roman"/>
                <w:sz w:val="24"/>
                <w:szCs w:val="24"/>
              </w:rPr>
              <w:t>: There is a potential for bilateral/multilateral agreement between cooperating countries/administrations to link their respective Emergency Telecommunications Service (ETS) systems. This Recommendation provides guidance that will enable telecommunications between one ETS national implementation (ENI) and another ENI, in addition to providing a description of ETS.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 results</w:t>
            </w:r>
          </w:p>
        </w:tc>
        <w:tc>
          <w:tcPr>
            <w:tcW w:w="8278" w:type="dxa"/>
          </w:tcPr>
          <w:p w:rsidR="00A11163" w:rsidRPr="004567E2" w:rsidRDefault="007835EF" w:rsidP="00A11163">
            <w:pPr>
              <w:rPr>
                <w:rFonts w:ascii="Times New Roman" w:hAnsi="Times New Roman" w:cs="Times New Roman"/>
                <w:b/>
                <w:bCs/>
                <w:sz w:val="24"/>
                <w:szCs w:val="24"/>
              </w:rPr>
            </w:pPr>
            <w:hyperlink r:id="rId839" w:history="1">
              <w:r w:rsidR="00A11163" w:rsidRPr="004567E2">
                <w:rPr>
                  <w:rStyle w:val="Hyperlink"/>
                  <w:rFonts w:ascii="Times New Roman" w:hAnsi="Times New Roman" w:cs="Times New Roman"/>
                  <w:sz w:val="24"/>
                  <w:szCs w:val="24"/>
                </w:rPr>
                <w:t>Recommendation ITU-T E.108 “Requirement for disaster relief mobile message service”</w:t>
              </w:r>
            </w:hyperlink>
            <w:r w:rsidR="00A11163" w:rsidRPr="004567E2">
              <w:rPr>
                <w:rFonts w:ascii="Times New Roman" w:hAnsi="Times New Roman" w:cs="Times New Roman"/>
                <w:sz w:val="24"/>
                <w:szCs w:val="24"/>
              </w:rPr>
              <w:t xml:space="preserve"> specifies requirements for a disaster relief mobile message service. In the aftermath of a disaster, communication facilities are often overloaded due to many users attempting to contact friends or relatives to determine the safety of people </w:t>
            </w:r>
            <w:r w:rsidR="00A11163" w:rsidRPr="004567E2">
              <w:rPr>
                <w:rFonts w:ascii="Times New Roman" w:hAnsi="Times New Roman" w:cs="Times New Roman"/>
                <w:sz w:val="24"/>
                <w:szCs w:val="24"/>
              </w:rPr>
              <w:lastRenderedPageBreak/>
              <w:t>who may have been affected by disasters. As a result, communication attempts often fail. The intent of a disaster messaging service is to allow an alternate method to communicate safety status information. Two approaches are presented. The first is a text-based messaging system, and the second is a voice-based messaging system.</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SG2 results</w:t>
            </w:r>
          </w:p>
        </w:tc>
        <w:tc>
          <w:tcPr>
            <w:tcW w:w="8278" w:type="dxa"/>
          </w:tcPr>
          <w:p w:rsidR="00A11163" w:rsidRPr="004567E2" w:rsidRDefault="007835EF" w:rsidP="00A11163">
            <w:pPr>
              <w:rPr>
                <w:rFonts w:ascii="Times New Roman" w:hAnsi="Times New Roman" w:cs="Times New Roman"/>
                <w:b/>
                <w:bCs/>
                <w:sz w:val="24"/>
                <w:szCs w:val="24"/>
              </w:rPr>
            </w:pPr>
            <w:hyperlink r:id="rId840" w:history="1">
              <w:r w:rsidR="00A11163" w:rsidRPr="004567E2">
                <w:rPr>
                  <w:rStyle w:val="Hyperlink"/>
                  <w:rFonts w:ascii="Times New Roman" w:hAnsi="Times New Roman" w:cs="Times New Roman"/>
                  <w:sz w:val="24"/>
                  <w:szCs w:val="24"/>
                </w:rPr>
                <w:t>Recommendation ITU-T M.3350 “TMN service management requirements for information interchange across the TMN X-interface to support provisioning of Emergency Telecommunication Service (ETS)”</w:t>
              </w:r>
            </w:hyperlink>
            <w:r w:rsidR="00A11163" w:rsidRPr="004567E2">
              <w:rPr>
                <w:rFonts w:ascii="Times New Roman" w:hAnsi="Times New Roman" w:cs="Times New Roman"/>
                <w:sz w:val="24"/>
                <w:szCs w:val="24"/>
              </w:rPr>
              <w:t xml:space="preserve"> provides the basic functional requirements, framework, and use-cases for interchange of service management information across the TMN X-interface between a service customer and service provider, both officially authorized, associated with provision of Emergency Telecommunication Service (ETS). This capability is called the Emergency Telecommunication Service (ETS) Management Service (ETSMS).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841" w:history="1">
              <w:r w:rsidR="00A11163" w:rsidRPr="004567E2">
                <w:rPr>
                  <w:rStyle w:val="Hyperlink"/>
                  <w:rFonts w:ascii="Times New Roman" w:hAnsi="Times New Roman" w:cs="Times New Roman"/>
                  <w:sz w:val="24"/>
                  <w:szCs w:val="24"/>
                </w:rPr>
                <w:t>Recommendation ITU-T L.1400, Overview and general principles of methodologies for assessing the environmental impact of information and communication technologies</w:t>
              </w:r>
            </w:hyperlink>
            <w:r w:rsidR="00A11163" w:rsidRPr="004567E2">
              <w:rPr>
                <w:rFonts w:ascii="Times New Roman" w:hAnsi="Times New Roman" w:cs="Times New Roman"/>
                <w:sz w:val="24"/>
                <w:szCs w:val="24"/>
              </w:rPr>
              <w:t xml:space="preserve"> presents the general principles on assessing the environmental impact of information and communication technologies (ICT) and outlines the different methodologies that are being developed:</w:t>
            </w:r>
          </w:p>
          <w:p w:rsidR="00A11163" w:rsidRPr="004567E2" w:rsidRDefault="00A11163" w:rsidP="00A11163">
            <w:pPr>
              <w:pStyle w:val="Reftext"/>
              <w:numPr>
                <w:ilvl w:val="0"/>
                <w:numId w:val="5"/>
              </w:numPr>
              <w:spacing w:before="0"/>
              <w:ind w:left="360"/>
              <w:rPr>
                <w:szCs w:val="24"/>
              </w:rPr>
            </w:pPr>
            <w:r w:rsidRPr="004567E2">
              <w:rPr>
                <w:szCs w:val="24"/>
              </w:rPr>
              <w:t>Assessment of the environmental impact of ICT goods, networks, and services</w:t>
            </w:r>
          </w:p>
          <w:p w:rsidR="00A11163" w:rsidRPr="004567E2" w:rsidRDefault="00A11163" w:rsidP="00A11163">
            <w:pPr>
              <w:pStyle w:val="Reftext"/>
              <w:numPr>
                <w:ilvl w:val="0"/>
                <w:numId w:val="5"/>
              </w:numPr>
              <w:spacing w:before="0"/>
              <w:ind w:left="360"/>
              <w:rPr>
                <w:szCs w:val="24"/>
              </w:rPr>
            </w:pPr>
            <w:r w:rsidRPr="004567E2">
              <w:rPr>
                <w:szCs w:val="24"/>
              </w:rPr>
              <w:t>Assessment of the environmental impact of ICT projects</w:t>
            </w:r>
          </w:p>
          <w:p w:rsidR="00A11163" w:rsidRPr="004567E2" w:rsidRDefault="00A11163" w:rsidP="00A11163">
            <w:pPr>
              <w:pStyle w:val="Reftext"/>
              <w:numPr>
                <w:ilvl w:val="0"/>
                <w:numId w:val="5"/>
              </w:numPr>
              <w:spacing w:before="0"/>
              <w:ind w:left="360"/>
              <w:rPr>
                <w:szCs w:val="24"/>
              </w:rPr>
            </w:pPr>
            <w:r w:rsidRPr="004567E2">
              <w:rPr>
                <w:szCs w:val="24"/>
              </w:rPr>
              <w:t>Assessment of the environmental impact of ICT in organizations</w:t>
            </w:r>
          </w:p>
          <w:p w:rsidR="00A11163" w:rsidRPr="004567E2" w:rsidRDefault="00A11163" w:rsidP="00A11163">
            <w:pPr>
              <w:pStyle w:val="Reftext"/>
              <w:numPr>
                <w:ilvl w:val="0"/>
                <w:numId w:val="5"/>
              </w:numPr>
              <w:spacing w:before="0"/>
              <w:ind w:left="360"/>
              <w:rPr>
                <w:szCs w:val="24"/>
              </w:rPr>
            </w:pPr>
            <w:r w:rsidRPr="004567E2">
              <w:rPr>
                <w:szCs w:val="24"/>
              </w:rPr>
              <w:t>Assessment of the environmental impact of ICT in cities</w:t>
            </w:r>
          </w:p>
          <w:p w:rsidR="00A11163" w:rsidRPr="004567E2" w:rsidRDefault="00A11163" w:rsidP="00A11163">
            <w:pPr>
              <w:pStyle w:val="Reftext"/>
              <w:numPr>
                <w:ilvl w:val="0"/>
                <w:numId w:val="5"/>
              </w:numPr>
              <w:spacing w:before="0"/>
              <w:ind w:left="360"/>
              <w:rPr>
                <w:szCs w:val="24"/>
              </w:rPr>
            </w:pPr>
            <w:r w:rsidRPr="004567E2">
              <w:rPr>
                <w:szCs w:val="24"/>
              </w:rPr>
              <w:t>Assessment of the environmental impact of ICT in countries or group of countries.</w:t>
            </w:r>
          </w:p>
          <w:p w:rsidR="00A11163" w:rsidRPr="004567E2" w:rsidRDefault="00A11163" w:rsidP="00A11163">
            <w:pPr>
              <w:pStyle w:val="Reftext"/>
              <w:spacing w:before="0"/>
              <w:ind w:left="0" w:firstLine="0"/>
              <w:rPr>
                <w:szCs w:val="24"/>
              </w:rPr>
            </w:pPr>
            <w:r w:rsidRPr="004567E2">
              <w:rPr>
                <w:szCs w:val="24"/>
              </w:rPr>
              <w:t>This Recommendation also provides some examples of opportunities to reduce the environmental load due to ICT.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842" w:history="1">
              <w:r w:rsidR="00A11163" w:rsidRPr="004567E2">
                <w:rPr>
                  <w:rStyle w:val="Hyperlink"/>
                  <w:rFonts w:ascii="Times New Roman" w:hAnsi="Times New Roman" w:cs="Times New Roman"/>
                  <w:sz w:val="24"/>
                  <w:szCs w:val="24"/>
                </w:rPr>
                <w:t>Recommendation ITU-T L.1410, Methodology for environmental life cycle assessments of information and communication technology goods, networks and services</w:t>
              </w:r>
            </w:hyperlink>
            <w:r w:rsidR="00A11163" w:rsidRPr="004567E2">
              <w:rPr>
                <w:rFonts w:ascii="Times New Roman" w:hAnsi="Times New Roman" w:cs="Times New Roman"/>
                <w:sz w:val="24"/>
                <w:szCs w:val="24"/>
              </w:rPr>
              <w:t xml:space="preserve"> deals with environmental life cycle assessments (LCAs) of information </w:t>
            </w:r>
            <w:r w:rsidR="00A11163" w:rsidRPr="004567E2">
              <w:rPr>
                <w:rFonts w:ascii="Times New Roman" w:hAnsi="Times New Roman" w:cs="Times New Roman"/>
                <w:sz w:val="24"/>
                <w:szCs w:val="24"/>
              </w:rPr>
              <w:lastRenderedPageBreak/>
              <w:t>and communication technology (ICT) goods, networks and services. It deals with the life cycle assessment (LCA) methodology applied to ICT goods, networks and services, and with comparative analysis based on LCA results of an ICT goods, networks and services product system, and a reference product system.</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843" w:history="1">
              <w:r w:rsidR="00A11163" w:rsidRPr="004567E2">
                <w:rPr>
                  <w:rStyle w:val="Hyperlink"/>
                  <w:rFonts w:ascii="Times New Roman" w:hAnsi="Times New Roman" w:cs="Times New Roman"/>
                  <w:sz w:val="24"/>
                  <w:szCs w:val="24"/>
                </w:rPr>
                <w:t>Recommendation ITU-T L.1420, Methodology for energy consumption and greenhouse gas emissions impact assessment of information and communication technologies in organizations</w:t>
              </w:r>
            </w:hyperlink>
            <w:r w:rsidR="00A11163" w:rsidRPr="004567E2">
              <w:rPr>
                <w:rFonts w:ascii="Times New Roman" w:hAnsi="Times New Roman" w:cs="Times New Roman"/>
                <w:sz w:val="24"/>
                <w:szCs w:val="24"/>
              </w:rPr>
              <w:t xml:space="preserve"> presents the methodology to be followed if an organization intends to claim compliance with this Recommendation when assessing its information and communication technology (ICT) related energy consumption and/or greenhouse gas (GHG) emissions. This Recommendation can be used to assess energy consumption and GHG emissions generated over a defined period of time for the following purposes: for assessment of related impact from ICT organizations or for assessment of impact from ICT related activities within non-ICT organizations.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844" w:history="1">
              <w:r w:rsidR="00A11163" w:rsidRPr="004567E2">
                <w:rPr>
                  <w:rStyle w:val="Hyperlink"/>
                  <w:rFonts w:ascii="Times New Roman" w:hAnsi="Times New Roman" w:cs="Times New Roman"/>
                  <w:sz w:val="24"/>
                  <w:szCs w:val="24"/>
                </w:rPr>
                <w:t>Recommendation ITU-T L.1430, Methodology for assessment of the environmental impact of information and communication technology greenhouse gas and energy projects</w:t>
              </w:r>
            </w:hyperlink>
            <w:r w:rsidR="00A11163" w:rsidRPr="004567E2">
              <w:rPr>
                <w:rFonts w:ascii="Times New Roman" w:hAnsi="Times New Roman" w:cs="Times New Roman"/>
                <w:sz w:val="24"/>
                <w:szCs w:val="24"/>
              </w:rPr>
              <w:t xml:space="preserve"> complements to ISO standard ISO 14064-2 and the Project Protocol of the Greenhouse Gas Protocol (GHG Protocol). This Recommendation provides guidance for the application of a specific methodology to assess the environmental impact of information and communication technology (ICT) greenhouse gas (GHG) and energy projects. This assessment methodology is specifically directed at quantifying and reporting GHG emission reductions, GHG removal enhancements, energy consumption reductions, and enhancement of energy generation and storage in ICT GHG and energy projects.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845" w:history="1">
              <w:r w:rsidR="00A11163" w:rsidRPr="004567E2">
                <w:rPr>
                  <w:rStyle w:val="Hyperlink"/>
                  <w:rFonts w:ascii="Times New Roman" w:hAnsi="Times New Roman" w:cs="Times New Roman"/>
                  <w:sz w:val="24"/>
                  <w:szCs w:val="24"/>
                </w:rPr>
                <w:t>Recommendation ITU-T L.1440, Methodology for environmental impact assessment of information and communication technologies at city level</w:t>
              </w:r>
            </w:hyperlink>
            <w:r w:rsidR="00A11163" w:rsidRPr="004567E2">
              <w:rPr>
                <w:rFonts w:ascii="Times New Roman" w:hAnsi="Times New Roman" w:cs="Times New Roman"/>
                <w:sz w:val="24"/>
                <w:szCs w:val="24"/>
              </w:rPr>
              <w:t xml:space="preserve"> gives general guidance on city level environmental assessments related to information and communication technologies (ICT), and provides a description of the methodologies to be used for the assessment of the environmental impact of ICT in </w:t>
            </w:r>
            <w:r w:rsidR="00A11163" w:rsidRPr="004567E2">
              <w:rPr>
                <w:rFonts w:ascii="Times New Roman" w:hAnsi="Times New Roman" w:cs="Times New Roman"/>
                <w:sz w:val="24"/>
                <w:szCs w:val="24"/>
              </w:rPr>
              <w:lastRenderedPageBreak/>
              <w:t>cities. It provides specific guidance on setting city boundaries, preparing and performing the assessment of ICT-related GHG emissions and energy consumption at city level.</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Recommendation ITU-T L.1450 "Methodologies for the assessment of the environmental impact of the information and communication technology sector" (under approval) consists of two parts:</w:t>
            </w:r>
          </w:p>
          <w:p w:rsidR="00A11163" w:rsidRPr="004567E2" w:rsidRDefault="00A11163" w:rsidP="00A11163">
            <w:pPr>
              <w:pStyle w:val="ListParagraph"/>
              <w:numPr>
                <w:ilvl w:val="0"/>
                <w:numId w:val="7"/>
              </w:numPr>
              <w:ind w:left="360"/>
              <w:contextualSpacing w:val="0"/>
              <w:rPr>
                <w:rFonts w:ascii="Times New Roman" w:hAnsi="Times New Roman" w:cs="Times New Roman"/>
                <w:sz w:val="24"/>
                <w:szCs w:val="24"/>
              </w:rPr>
            </w:pPr>
            <w:r w:rsidRPr="004567E2">
              <w:rPr>
                <w:rFonts w:ascii="Times New Roman" w:hAnsi="Times New Roman" w:cs="Times New Roman"/>
                <w:sz w:val="24"/>
                <w:szCs w:val="24"/>
              </w:rPr>
              <w:t xml:space="preserve">Part I: The methodology for calculating the information and communication technology (ICT) sector footprint with respect to life cycle greenhouse gases (GHG) emissions; </w:t>
            </w:r>
          </w:p>
          <w:p w:rsidR="00A11163" w:rsidRPr="004567E2" w:rsidRDefault="00A11163" w:rsidP="00A11163">
            <w:pPr>
              <w:pStyle w:val="ListParagraph"/>
              <w:numPr>
                <w:ilvl w:val="0"/>
                <w:numId w:val="7"/>
              </w:numPr>
              <w:ind w:left="360"/>
              <w:contextualSpacing w:val="0"/>
              <w:rPr>
                <w:rFonts w:ascii="Times New Roman" w:hAnsi="Times New Roman" w:cs="Times New Roman"/>
                <w:sz w:val="24"/>
                <w:szCs w:val="24"/>
              </w:rPr>
            </w:pPr>
            <w:r w:rsidRPr="004567E2">
              <w:rPr>
                <w:rFonts w:ascii="Times New Roman" w:hAnsi="Times New Roman" w:cs="Times New Roman"/>
                <w:sz w:val="24"/>
                <w:szCs w:val="24"/>
              </w:rPr>
              <w:t>Part II: The methodology for defining GHG emissions budget for the ICT sector considering a 2 ºC or lower trajectory.</w:t>
            </w:r>
          </w:p>
          <w:p w:rsidR="00A11163" w:rsidRPr="004567E2" w:rsidRDefault="00A11163" w:rsidP="00A11163">
            <w:pPr>
              <w:pStyle w:val="ListParagraph"/>
              <w:ind w:left="0"/>
              <w:contextualSpacing w:val="0"/>
              <w:rPr>
                <w:rFonts w:ascii="Times New Roman" w:hAnsi="Times New Roman" w:cs="Times New Roman"/>
                <w:sz w:val="24"/>
                <w:szCs w:val="24"/>
              </w:rPr>
            </w:pPr>
            <w:r w:rsidRPr="004567E2">
              <w:rPr>
                <w:rFonts w:ascii="Times New Roman" w:hAnsi="Times New Roman" w:cs="Times New Roman"/>
                <w:sz w:val="24"/>
                <w:szCs w:val="24"/>
              </w:rPr>
              <w:t>Appendix IV gives an example of a partial ICT sector footprint derived in line with Part I of the Recommendation.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846" w:history="1">
              <w:r w:rsidR="00A11163" w:rsidRPr="004567E2">
                <w:rPr>
                  <w:rStyle w:val="Hyperlink"/>
                  <w:rFonts w:ascii="Times New Roman" w:hAnsi="Times New Roman" w:cs="Times New Roman"/>
                  <w:sz w:val="24"/>
                  <w:szCs w:val="24"/>
                </w:rPr>
                <w:t>Recommendation ITU-T L.1460 “Connect 2020 greenhouse gases emissions – Guidelines”</w:t>
              </w:r>
            </w:hyperlink>
            <w:r w:rsidR="00A11163" w:rsidRPr="004567E2">
              <w:rPr>
                <w:rFonts w:ascii="Times New Roman" w:hAnsi="Times New Roman" w:cs="Times New Roman"/>
                <w:sz w:val="24"/>
                <w:szCs w:val="24"/>
              </w:rPr>
              <w:t xml:space="preserve"> </w:t>
            </w:r>
            <w:r w:rsidR="00A11163" w:rsidRPr="004567E2">
              <w:rPr>
                <w:rFonts w:ascii="Times New Roman" w:eastAsia="MS Mincho" w:hAnsi="Times New Roman" w:cs="Times New Roman"/>
                <w:bCs/>
                <w:sz w:val="24"/>
                <w:szCs w:val="24"/>
              </w:rPr>
              <w:t>provides guidelines to address the Connect 2020 GHG emissions target. It is intended to be utilized by relevant stakeholders to address the Connect 2020 ambitions, while considering the SDG 13 goal and the objectives of the Paris Agreement. It also presents examples of actions taken in order to limit the GHG emissions in the ICT sector.</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847" w:history="1">
              <w:r w:rsidR="00A11163" w:rsidRPr="004567E2">
                <w:rPr>
                  <w:rStyle w:val="Hyperlink"/>
                  <w:rFonts w:ascii="Times New Roman" w:hAnsi="Times New Roman" w:cs="Times New Roman"/>
                  <w:sz w:val="24"/>
                  <w:szCs w:val="24"/>
                </w:rPr>
                <w:t>Recommendation ITU-T L.1500, Framework for information and communication technologies and adaptation to the effects of climate change</w:t>
              </w:r>
            </w:hyperlink>
            <w:r w:rsidR="00A11163" w:rsidRPr="004567E2">
              <w:rPr>
                <w:rFonts w:ascii="Times New Roman" w:hAnsi="Times New Roman" w:cs="Times New Roman"/>
                <w:sz w:val="24"/>
                <w:szCs w:val="24"/>
              </w:rPr>
              <w:t xml:space="preserve"> describes a framework for information and communication technologies (ICTs) and adaptation to the effects of climate change.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848" w:history="1">
              <w:r w:rsidR="00A11163" w:rsidRPr="004567E2">
                <w:rPr>
                  <w:rStyle w:val="Hyperlink"/>
                  <w:rFonts w:ascii="Times New Roman" w:hAnsi="Times New Roman" w:cs="Times New Roman"/>
                  <w:sz w:val="24"/>
                  <w:szCs w:val="24"/>
                </w:rPr>
                <w:t>Recommendation ITU-T L.1501, Best practices on how countries can utilize ICTs to adapt to the effects of climate change</w:t>
              </w:r>
            </w:hyperlink>
            <w:r w:rsidR="00A11163" w:rsidRPr="004567E2">
              <w:rPr>
                <w:rFonts w:ascii="Times New Roman" w:hAnsi="Times New Roman" w:cs="Times New Roman"/>
                <w:sz w:val="24"/>
                <w:szCs w:val="24"/>
              </w:rPr>
              <w:t xml:space="preserve"> provides guidance on how information and communication technologies (ICTs) can help countries to adapt to the effect of climate change. It also provides a framework and a checklist for countries to integrate ICTs in their national climate change adaptation strategies. The Recommendation describes the complexity of climate change and explains why </w:t>
            </w:r>
            <w:r w:rsidR="00A11163" w:rsidRPr="004567E2">
              <w:rPr>
                <w:rFonts w:ascii="Times New Roman" w:hAnsi="Times New Roman" w:cs="Times New Roman"/>
                <w:sz w:val="24"/>
                <w:szCs w:val="24"/>
              </w:rPr>
              <w:lastRenderedPageBreak/>
              <w:t>countries need to adapt. It also describes the role of ICTs in helping countries respond to the effects of climate change by looking at how various sectors use ICTs; including the ICT sector. It is designed to be a guide for regulators and policymakers to minimize the impact of climate change and provides a 'multi-level framework for ICTs integration in climate change adaption' to assist countries in integrating ICTs in their national climate change adaptation strategies.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849" w:history="1">
              <w:r w:rsidR="00A11163" w:rsidRPr="004567E2">
                <w:rPr>
                  <w:rStyle w:val="Hyperlink"/>
                  <w:rFonts w:ascii="Times New Roman" w:hAnsi="Times New Roman" w:cs="Times New Roman"/>
                  <w:sz w:val="24"/>
                  <w:szCs w:val="24"/>
                </w:rPr>
                <w:t>Recommendation ITU-T L.1502, Adapting information and communication technology infrastructure to the effects of climate change</w:t>
              </w:r>
            </w:hyperlink>
            <w:r w:rsidR="00A11163" w:rsidRPr="004567E2">
              <w:rPr>
                <w:rFonts w:ascii="Times New Roman" w:hAnsi="Times New Roman" w:cs="Times New Roman"/>
                <w:sz w:val="24"/>
                <w:szCs w:val="24"/>
              </w:rPr>
              <w:t xml:space="preserve"> identifies direct and indirect threats of climate change on ICT services and provides options for adaptation and mitigation. These threats include extreme rainfall, flooding, landslides, extreme wind, lightning, extreme humidity, drought, ice storms and heavy snowfall.</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850" w:tooltip="Use of information and communication technology for climate change adaptation in cities" w:history="1">
              <w:r w:rsidR="00A11163" w:rsidRPr="004567E2">
                <w:rPr>
                  <w:rStyle w:val="Hyperlink"/>
                  <w:rFonts w:ascii="Times New Roman" w:hAnsi="Times New Roman" w:cs="Times New Roman"/>
                  <w:sz w:val="24"/>
                  <w:szCs w:val="24"/>
                </w:rPr>
                <w:t>Recommendation ITU-T L.1503: Use of information and communication technology for climate change adaptation in cities</w:t>
              </w:r>
            </w:hyperlink>
            <w:r w:rsidR="00A11163" w:rsidRPr="004567E2">
              <w:rPr>
                <w:rFonts w:ascii="Times New Roman" w:hAnsi="Times New Roman" w:cs="Times New Roman"/>
                <w:sz w:val="24"/>
                <w:szCs w:val="24"/>
              </w:rPr>
              <w:t xml:space="preserve"> aims at a broad audience of stakeholders interested in ICTs, climate change adaptation, and Smart Sustainable Cities, including city decision makers and planners. Urban stakeholders, including mayors and city planners, are invited to consider novel approaches to sustainability by integrating the use of ICTs in their climate change adaptation strategies and policies.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851" w:tooltip="ICT and adaptation of agriculture to the effects of climate change" w:history="1">
              <w:r w:rsidR="00A11163" w:rsidRPr="004567E2">
                <w:rPr>
                  <w:rStyle w:val="Hyperlink"/>
                  <w:rFonts w:ascii="Times New Roman" w:hAnsi="Times New Roman" w:cs="Times New Roman"/>
                  <w:sz w:val="24"/>
                  <w:szCs w:val="24"/>
                </w:rPr>
                <w:t>Recommendation ITU-T L.1504: ICT and adaptation of agriculture to the effects of climate change</w:t>
              </w:r>
            </w:hyperlink>
            <w:r w:rsidR="00A11163" w:rsidRPr="004567E2">
              <w:rPr>
                <w:rFonts w:ascii="Times New Roman" w:hAnsi="Times New Roman" w:cs="Times New Roman"/>
                <w:sz w:val="24"/>
                <w:szCs w:val="24"/>
              </w:rPr>
              <w:t xml:space="preserve"> provides a description of how the use of ICT can help sustain the agricultural sector in the event of poor yields or disasters triggered by climate change. The possible impacts of climate change on agriculture and farming communities are described. This is followed by an outline of what measures are needed to adapt the sector and how ICT can play a role in this.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852" w:history="1">
              <w:r w:rsidR="00A11163" w:rsidRPr="004567E2">
                <w:rPr>
                  <w:rStyle w:val="Hyperlink"/>
                  <w:rFonts w:ascii="Times New Roman" w:hAnsi="Times New Roman" w:cs="Times New Roman"/>
                  <w:sz w:val="24"/>
                  <w:szCs w:val="24"/>
                </w:rPr>
                <w:t>Recommendation ITU-T L.1505 “Information and communication technology and adaptation of the fisheries sector to the effects of climate change”</w:t>
              </w:r>
            </w:hyperlink>
            <w:r w:rsidR="00A11163" w:rsidRPr="004567E2">
              <w:rPr>
                <w:rFonts w:ascii="Times New Roman" w:hAnsi="Times New Roman" w:cs="Times New Roman"/>
                <w:sz w:val="24"/>
                <w:szCs w:val="24"/>
              </w:rPr>
              <w:t xml:space="preserve"> includes a review of the effects of climate change on fisheries and fishing communities. Recommendation ITU-T L.1505 recognizes the need for adaptation and for the use </w:t>
            </w:r>
            <w:r w:rsidR="00A11163" w:rsidRPr="004567E2">
              <w:rPr>
                <w:rFonts w:ascii="Times New Roman" w:hAnsi="Times New Roman" w:cs="Times New Roman"/>
                <w:sz w:val="24"/>
                <w:szCs w:val="24"/>
              </w:rPr>
              <w:lastRenderedPageBreak/>
              <w:t>and dissemination of relevant innovative techniques. It explores adaptation plans and the potential role of information and communication technologies (ICTs) in supporting the adaptation of the fisheries sector to cope with the effects of climate change.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853" w:history="1">
              <w:r w:rsidR="00A11163" w:rsidRPr="004567E2">
                <w:rPr>
                  <w:rStyle w:val="Hyperlink"/>
                  <w:rFonts w:ascii="Times New Roman" w:eastAsia="MS Mincho" w:hAnsi="Times New Roman" w:cs="Times New Roman"/>
                  <w:sz w:val="24"/>
                  <w:szCs w:val="24"/>
                </w:rPr>
                <w:t>Recommenddation ITU-T L.1506 “Framework of climate change risk assessment for telecommunication and electrical facilities”</w:t>
              </w:r>
            </w:hyperlink>
            <w:r w:rsidR="00A11163" w:rsidRPr="004567E2">
              <w:rPr>
                <w:rFonts w:ascii="Times New Roman" w:eastAsia="MS Mincho" w:hAnsi="Times New Roman" w:cs="Times New Roman"/>
                <w:sz w:val="24"/>
                <w:szCs w:val="24"/>
              </w:rPr>
              <w:t xml:space="preserve"> describes the framework of assessing climate change risk for telecommunication and electrical facilities. The framework consists of risk assessment methodology and considerations for applying the defined methodology. The methodology defined in this Recommendation provides a climate change risk assessment that integrates multiple climate change risk factors into a single metric and shows the assessment result from the overall perspective.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7835EF" w:rsidP="00A11163">
            <w:pPr>
              <w:rPr>
                <w:rFonts w:ascii="Times New Roman" w:hAnsi="Times New Roman" w:cs="Times New Roman"/>
                <w:sz w:val="24"/>
                <w:szCs w:val="24"/>
              </w:rPr>
            </w:pPr>
            <w:hyperlink r:id="rId854" w:history="1">
              <w:r w:rsidR="00A11163" w:rsidRPr="004567E2">
                <w:rPr>
                  <w:rStyle w:val="Hyperlink"/>
                  <w:rFonts w:ascii="Times New Roman" w:hAnsi="Times New Roman" w:cs="Times New Roman"/>
                  <w:sz w:val="24"/>
                  <w:szCs w:val="24"/>
                </w:rPr>
                <w:t>ITU-T Technical Report LSTR.5GEE “Study on methods and metrics to evaluate energy efficiency for future 5G systems”</w:t>
              </w:r>
            </w:hyperlink>
            <w:r w:rsidR="00A11163" w:rsidRPr="004567E2">
              <w:rPr>
                <w:rFonts w:ascii="Times New Roman" w:hAnsi="Times New Roman" w:cs="Times New Roman"/>
                <w:sz w:val="24"/>
                <w:szCs w:val="24"/>
              </w:rPr>
              <w:t xml:space="preserve"> analyses the energy efficiency issues for the future 5G systems, object of standardization in 3GPP and ITU and foreseen to be available from 2018 in various countries. The focus is about methods and metrics to measure energy efficiency in 5G systems, considering the degree of stability of the systems known so far and the experience of the legacy systems and the related measurement procedures evaluating future standardization evolutions.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SG9 results</w:t>
            </w:r>
          </w:p>
        </w:tc>
        <w:tc>
          <w:tcPr>
            <w:tcW w:w="8278" w:type="dxa"/>
          </w:tcPr>
          <w:p w:rsidR="00A11163" w:rsidRPr="004567E2" w:rsidRDefault="007835EF" w:rsidP="00A11163">
            <w:pPr>
              <w:rPr>
                <w:rFonts w:ascii="Times New Roman" w:hAnsi="Times New Roman" w:cs="Times New Roman"/>
                <w:sz w:val="24"/>
                <w:szCs w:val="24"/>
              </w:rPr>
            </w:pPr>
            <w:hyperlink r:id="rId855" w:tooltip="Requirements for preferential telecommunications over IPCablecom networks" w:history="1">
              <w:r w:rsidR="00A11163" w:rsidRPr="004567E2">
                <w:rPr>
                  <w:rStyle w:val="Hyperlink"/>
                  <w:rFonts w:ascii="Times New Roman" w:hAnsi="Times New Roman" w:cs="Times New Roman"/>
                  <w:sz w:val="24"/>
                  <w:szCs w:val="24"/>
                </w:rPr>
                <w:t>Recommendation ITU-T J.260 “Requirements for preferential telecommunications over IPCablecom networks”</w:t>
              </w:r>
            </w:hyperlink>
            <w:r w:rsidR="00A11163" w:rsidRPr="004567E2">
              <w:rPr>
                <w:rFonts w:ascii="Times New Roman" w:hAnsi="Times New Roman" w:cs="Times New Roman"/>
                <w:sz w:val="24"/>
                <w:szCs w:val="24"/>
              </w:rPr>
              <w:t xml:space="preserve"> defines requirements for preferential telecommunications over IPCablecom networks. The essential aspects of preferential telecommunications over IPCablecom that this Recommendation covers can be grouped into two areas: prioritization and authentication. These two areas include capabilities to support telecommunications in IPCablecom that may require preferential treatment (e.g., Telecommunications for Disaster Relief and Emergency Telecommunications Service).The implementation of priority and authentication is necessary for the support of preferential telecommunications in IPCablecom networks.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SG9 results</w:t>
            </w:r>
          </w:p>
        </w:tc>
        <w:tc>
          <w:tcPr>
            <w:tcW w:w="8278" w:type="dxa"/>
          </w:tcPr>
          <w:p w:rsidR="00A11163" w:rsidRPr="004567E2" w:rsidRDefault="007835EF" w:rsidP="00A11163">
            <w:pPr>
              <w:rPr>
                <w:rFonts w:ascii="Times New Roman" w:hAnsi="Times New Roman" w:cs="Times New Roman"/>
                <w:sz w:val="24"/>
                <w:szCs w:val="24"/>
              </w:rPr>
            </w:pPr>
            <w:hyperlink r:id="rId856" w:tooltip="Framework for implementing preferential telecommunications in IPCablecom and IPCablecom2 networks" w:history="1">
              <w:r w:rsidR="00A11163" w:rsidRPr="004567E2">
                <w:rPr>
                  <w:rStyle w:val="Hyperlink"/>
                  <w:rFonts w:ascii="Times New Roman" w:hAnsi="Times New Roman" w:cs="Times New Roman"/>
                  <w:sz w:val="24"/>
                  <w:szCs w:val="24"/>
                </w:rPr>
                <w:t>Recommendation ITU-T J.261 “Framework for implementing preferential telecommunications in IPCablecom and IPCablecom2 networks”</w:t>
              </w:r>
            </w:hyperlink>
            <w:r w:rsidR="00A11163" w:rsidRPr="004567E2">
              <w:rPr>
                <w:rFonts w:ascii="Times New Roman" w:hAnsi="Times New Roman" w:cs="Times New Roman"/>
                <w:sz w:val="24"/>
                <w:szCs w:val="24"/>
              </w:rPr>
              <w:t xml:space="preserve"> provides a framework for implementing preferential capabilities in IPCablecom and IPCablecom2 networks.The approach of this Recommendation is to define a framework for capabilities that can be utilized to meet the requirements in Recommendation ITU-T J.260 and forms the basis for detailed IPCablecom and IPCablecom2 Recommendations in support of preferential telecommunications.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SG9 results</w:t>
            </w:r>
          </w:p>
        </w:tc>
        <w:tc>
          <w:tcPr>
            <w:tcW w:w="8278" w:type="dxa"/>
          </w:tcPr>
          <w:p w:rsidR="00A11163" w:rsidRPr="004567E2" w:rsidRDefault="007835EF" w:rsidP="00A11163">
            <w:pPr>
              <w:rPr>
                <w:rFonts w:ascii="Times New Roman" w:hAnsi="Times New Roman" w:cs="Times New Roman"/>
                <w:sz w:val="24"/>
                <w:szCs w:val="24"/>
              </w:rPr>
            </w:pPr>
            <w:hyperlink r:id="rId857" w:tooltip="Specifications for authentication in preferential telecommunications over IPCablecom2 networks" w:history="1">
              <w:r w:rsidR="00A11163" w:rsidRPr="004567E2">
                <w:rPr>
                  <w:rStyle w:val="Hyperlink"/>
                  <w:rFonts w:ascii="Times New Roman" w:hAnsi="Times New Roman" w:cs="Times New Roman"/>
                  <w:sz w:val="24"/>
                  <w:szCs w:val="24"/>
                </w:rPr>
                <w:t>Recommendation ITU-T J.262 “Specifications for authentication in preferential telecommunications over IPCablecom2 networks”</w:t>
              </w:r>
            </w:hyperlink>
            <w:r w:rsidR="00A11163" w:rsidRPr="004567E2">
              <w:rPr>
                <w:rFonts w:ascii="Times New Roman" w:hAnsi="Times New Roman" w:cs="Times New Roman"/>
                <w:sz w:val="24"/>
                <w:szCs w:val="24"/>
              </w:rPr>
              <w:t xml:space="preserve"> is one of a series of Recommendations to enable support for preferential telecommunication services over IPCablecom networks. It defines the specifications for authentication in preferential telecommunications over IPCablecom2 networks. These specifications satisfy the requirements defined in Recommendation ITU-T J.260. The essential aspects of preferential telecommunications over IPCablecom2 can be grouped into two areas: prioritization and authentication. This Recommendation defines specifications for authentication only. Authentication must be utilized to prevent unauthorized use of premium services and for emergency services in IPCablecom2 that may require preferential treatment (e.g., telecommunications for disaster relief and the emergency telecommunications service). User authentication is necessary to determine whether to authorize a request for preferential telecommunication services. This Recommendation covers only authentication and does not address which services the authenticated user is authorized to use.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SG9 results</w:t>
            </w:r>
          </w:p>
        </w:tc>
        <w:tc>
          <w:tcPr>
            <w:tcW w:w="8278" w:type="dxa"/>
          </w:tcPr>
          <w:p w:rsidR="00A11163" w:rsidRPr="004567E2" w:rsidRDefault="007835EF" w:rsidP="00A11163">
            <w:pPr>
              <w:rPr>
                <w:rFonts w:ascii="Times New Roman" w:hAnsi="Times New Roman" w:cs="Times New Roman"/>
                <w:sz w:val="24"/>
                <w:szCs w:val="24"/>
              </w:rPr>
            </w:pPr>
            <w:hyperlink r:id="rId858" w:tooltip="Specification for priority in preferential telecommunications over IPCablecom2 networks" w:history="1">
              <w:r w:rsidR="00A11163" w:rsidRPr="004567E2">
                <w:rPr>
                  <w:rStyle w:val="Hyperlink"/>
                  <w:rFonts w:ascii="Times New Roman" w:hAnsi="Times New Roman" w:cs="Times New Roman"/>
                  <w:sz w:val="24"/>
                  <w:szCs w:val="24"/>
                </w:rPr>
                <w:t>Recommendation ITU-T J.263 “Specification for priority in preferential telecommunications over IPCablecom2 networks”</w:t>
              </w:r>
            </w:hyperlink>
            <w:r w:rsidR="00A11163" w:rsidRPr="004567E2">
              <w:rPr>
                <w:rFonts w:ascii="Times New Roman" w:hAnsi="Times New Roman" w:cs="Times New Roman"/>
                <w:sz w:val="24"/>
                <w:szCs w:val="24"/>
              </w:rPr>
              <w:t xml:space="preserve"> is one of a series of Recommendations to enable support for preferential telecommunication services over IPCablecom2 networks. It defines the specifications for priority for preferential telecommunication services over IPCablecom2 networks. These specifications satisfy the requirements defined in Recommendation ITU-T J.260. The essential aspects of preferential telecommunications over IPCablecom2 can be </w:t>
            </w:r>
            <w:r w:rsidR="00A11163" w:rsidRPr="004567E2">
              <w:rPr>
                <w:rFonts w:ascii="Times New Roman" w:hAnsi="Times New Roman" w:cs="Times New Roman"/>
                <w:sz w:val="24"/>
                <w:szCs w:val="24"/>
              </w:rPr>
              <w:lastRenderedPageBreak/>
              <w:t>grouped into two areas: prioritization and authentication. This Recommendation provides specifications for prioritization only. Prioritization may be utilized for premium services and for emergency services in IPCablecom2 that may require preferential treatment (e.g., telecommunications for disaster relief and the emergency telecommunications service). The implementation of priority and authentication is necessary for the support of preferential telecommunications services in IPCablecom networks. This Recommendation only covers technical aspects for achieving prioritized treatment in IPCablecom2 networks.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rPr>
                <w:rFonts w:ascii="Times New Roman" w:hAnsi="Times New Roman" w:cs="Times New Roman"/>
                <w:sz w:val="24"/>
                <w:szCs w:val="24"/>
              </w:rPr>
            </w:pPr>
            <w:hyperlink r:id="rId859" w:history="1">
              <w:r w:rsidR="00A11163" w:rsidRPr="004567E2">
                <w:rPr>
                  <w:rStyle w:val="Hyperlink"/>
                  <w:rFonts w:ascii="Times New Roman" w:hAnsi="Times New Roman" w:cs="Times New Roman"/>
                  <w:sz w:val="24"/>
                  <w:szCs w:val="24"/>
                </w:rPr>
                <w:t>Recommendation ITU-T Q.761 (1999) Amd. 3 “Support for the International Emergency Preference Scheme”</w:t>
              </w:r>
            </w:hyperlink>
            <w:r w:rsidR="00A11163" w:rsidRPr="004567E2">
              <w:rPr>
                <w:rFonts w:ascii="Times New Roman" w:hAnsi="Times New Roman" w:cs="Times New Roman"/>
                <w:sz w:val="24"/>
                <w:szCs w:val="24"/>
              </w:rPr>
              <w:t xml:space="preserve"> was produced to meet the need for the implementation of the International Emergency Preference Scheme (IEPS) for disaster recovery operations as specified in ITU-T Rec. E.106. It contains the modifications to ITU-T Rec. Q.761 (1999) in order to accommodate these needs. This amendment should be read in conjunction with Amendment 3 to ITU-T Rec. Q.762, Amendment 4 to ITU-T Rec. Q.763, and Amendment 4 to ITU-T Rec. Q.764. This amendment incorporates Amendment 2 to ITU-T Rec. Q.761 and provides enhancements.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rPr>
                <w:rFonts w:ascii="Times New Roman" w:hAnsi="Times New Roman" w:cs="Times New Roman"/>
                <w:sz w:val="24"/>
                <w:szCs w:val="24"/>
              </w:rPr>
            </w:pPr>
            <w:hyperlink r:id="rId860" w:history="1">
              <w:r w:rsidR="00A11163" w:rsidRPr="004567E2">
                <w:rPr>
                  <w:rStyle w:val="Hyperlink"/>
                  <w:rFonts w:ascii="Times New Roman" w:hAnsi="Times New Roman" w:cs="Times New Roman"/>
                  <w:sz w:val="24"/>
                  <w:szCs w:val="24"/>
                </w:rPr>
                <w:t>Recommendation ITU-T Q.762 (1999) Amd. 3 “Support for the International Emergency Preference Scheme”</w:t>
              </w:r>
            </w:hyperlink>
            <w:r w:rsidR="00A11163" w:rsidRPr="004567E2">
              <w:rPr>
                <w:rFonts w:ascii="Times New Roman" w:hAnsi="Times New Roman" w:cs="Times New Roman"/>
                <w:sz w:val="24"/>
                <w:szCs w:val="24"/>
              </w:rPr>
              <w:t xml:space="preserve"> was produced to meet the need for the implementation of the International Emergency Preference Scheme (IEPS) for disaster recovery operations as specified in ITU-T Rec. E.106. It contains the modifications to ITU-T Rec. Q.762 (1999) in order to accommodate these needs. This amendment should be read in conjunction with Amendment 3 to ITU-T Rec. Q.761, Amendment 4 to ITU-T Rec. Q.763, and Amendment 4 to ITU-T Rec. Q.764. This amendment incorporates Amendment 1 to ITU-T Rec. Q.762 and provides enhancements.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rPr>
                <w:rFonts w:ascii="Times New Roman" w:hAnsi="Times New Roman" w:cs="Times New Roman"/>
                <w:sz w:val="24"/>
                <w:szCs w:val="24"/>
              </w:rPr>
            </w:pPr>
            <w:hyperlink r:id="rId861" w:history="1">
              <w:r w:rsidR="00A11163" w:rsidRPr="004567E2">
                <w:rPr>
                  <w:rStyle w:val="Hyperlink"/>
                  <w:rFonts w:ascii="Times New Roman" w:hAnsi="Times New Roman" w:cs="Times New Roman"/>
                  <w:sz w:val="24"/>
                  <w:szCs w:val="24"/>
                </w:rPr>
                <w:t>Recommendation ITU-T Q.763 (1999) Amd. 4 “Support for the International Emergency Preference Scheme”</w:t>
              </w:r>
            </w:hyperlink>
            <w:r w:rsidR="00A11163" w:rsidRPr="004567E2">
              <w:rPr>
                <w:rFonts w:ascii="Times New Roman" w:hAnsi="Times New Roman" w:cs="Times New Roman"/>
                <w:sz w:val="24"/>
                <w:szCs w:val="24"/>
              </w:rPr>
              <w:t xml:space="preserve"> was produced to meet the need for the implementation of the International Emergency Preference Scheme (IEPS) for </w:t>
            </w:r>
            <w:r w:rsidR="00A11163" w:rsidRPr="004567E2">
              <w:rPr>
                <w:rFonts w:ascii="Times New Roman" w:hAnsi="Times New Roman" w:cs="Times New Roman"/>
                <w:sz w:val="24"/>
                <w:szCs w:val="24"/>
              </w:rPr>
              <w:lastRenderedPageBreak/>
              <w:t>disaster recovery operations as specified in ITU-T Rec. E.106. This amendment contains the modifications to ITU-T Rec. Q.763 (1999) in order to accommodate these needs. It should be read in conjunction with Amendment 3 to ITU-T Rec. Q.761, Amendment 3 to ITU-T Rec. Q.762, and Amendment 4 to ITU-T Rec. Q.764. This amendment incorporates Amendment 2 to ITU-T Rec. Q.763 and provides enhancements.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rPr>
                <w:rFonts w:ascii="Times New Roman" w:hAnsi="Times New Roman" w:cs="Times New Roman"/>
                <w:sz w:val="24"/>
                <w:szCs w:val="24"/>
              </w:rPr>
            </w:pPr>
            <w:hyperlink r:id="rId862" w:history="1">
              <w:r w:rsidR="00A11163" w:rsidRPr="004567E2">
                <w:rPr>
                  <w:rStyle w:val="Hyperlink"/>
                  <w:rFonts w:ascii="Times New Roman" w:hAnsi="Times New Roman" w:cs="Times New Roman"/>
                  <w:sz w:val="24"/>
                  <w:szCs w:val="24"/>
                </w:rPr>
                <w:t>Recommendation ITU-T Q.764 (1999) Amd. 4 “Support for the International Emergency Preference Scheme”</w:t>
              </w:r>
            </w:hyperlink>
            <w:r w:rsidR="00A11163" w:rsidRPr="004567E2">
              <w:rPr>
                <w:rFonts w:ascii="Times New Roman" w:hAnsi="Times New Roman" w:cs="Times New Roman"/>
                <w:sz w:val="24"/>
                <w:szCs w:val="24"/>
              </w:rPr>
              <w:t xml:space="preserve"> was produced to meet the need for the implementation of the International Emergency Preference Scheme (IEPS) for disaster recovery operations as specified in ITU-T Rec. E.106. It contains the modifications to ITU-T Rec. Q.764 (1999) in order to accommodate these needs. This amendment should be read in conjunction with Amendment 3 to ITU-T Rec. Q.761, Amendment 3 to ITU-T Rec. Q.762, and Amendment 4 to ITU-T Rec. Q.763. This amendment incorporates Amendment 2 to ITU-T Rec. Q.764 and provides enhancements.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rPr>
                <w:rFonts w:ascii="Times New Roman" w:hAnsi="Times New Roman" w:cs="Times New Roman"/>
                <w:sz w:val="24"/>
                <w:szCs w:val="24"/>
              </w:rPr>
            </w:pPr>
            <w:hyperlink r:id="rId863" w:history="1">
              <w:r w:rsidR="00A11163" w:rsidRPr="004567E2">
                <w:rPr>
                  <w:rStyle w:val="Hyperlink"/>
                  <w:rFonts w:ascii="Times New Roman" w:hAnsi="Times New Roman" w:cs="Times New Roman"/>
                  <w:sz w:val="24"/>
                  <w:szCs w:val="24"/>
                </w:rPr>
                <w:t>Recommendation ITU-T Q.1950 (2002) Amd. 1 “New Annex G – Call bearer control – International Emergency Preference Scheme”</w:t>
              </w:r>
            </w:hyperlink>
            <w:r w:rsidR="00A11163" w:rsidRPr="004567E2">
              <w:rPr>
                <w:rFonts w:ascii="Times New Roman" w:hAnsi="Times New Roman" w:cs="Times New Roman"/>
                <w:sz w:val="24"/>
                <w:szCs w:val="24"/>
              </w:rPr>
              <w:t xml:space="preserve"> contains the procedures, formats and codes with regard to the Call Bearer Control function to support the International Emergency Preference Scheme (IEPS), which is specified in ITU-T Rec. E.106, in Bearer Independent Call Control (BICC) based networks.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rPr>
                <w:rFonts w:ascii="Times New Roman" w:hAnsi="Times New Roman" w:cs="Times New Roman"/>
                <w:sz w:val="24"/>
                <w:szCs w:val="24"/>
              </w:rPr>
            </w:pPr>
            <w:hyperlink r:id="rId864" w:history="1">
              <w:r w:rsidR="00A11163" w:rsidRPr="004567E2">
                <w:rPr>
                  <w:rStyle w:val="Hyperlink"/>
                  <w:rFonts w:ascii="Times New Roman" w:hAnsi="Times New Roman" w:cs="Times New Roman"/>
                  <w:sz w:val="24"/>
                  <w:szCs w:val="24"/>
                </w:rPr>
                <w:t>Recommendation ITU-T Q.2630.3 (2003) Amd. 1 “Support for the International Emergency Preference Scheme”</w:t>
              </w:r>
            </w:hyperlink>
            <w:r w:rsidR="00A11163" w:rsidRPr="004567E2">
              <w:rPr>
                <w:rFonts w:ascii="Times New Roman" w:hAnsi="Times New Roman" w:cs="Times New Roman"/>
                <w:sz w:val="24"/>
                <w:szCs w:val="24"/>
              </w:rPr>
              <w:t xml:space="preserve"> was produced to meet the need for the implementation of the International Emergency Preference Scheme (IEPS) as specified in ITU-T Rec. E.106. It contains the modifications to ITU-T Rec. Q.2630.3 (2003) in order to accommodate these needs. This amendment is designed to be compatible with implementations conforming to ITU-T Rec. Q.2630.3 (2003).</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rPr>
                <w:rFonts w:ascii="Times New Roman" w:hAnsi="Times New Roman" w:cs="Times New Roman"/>
                <w:sz w:val="24"/>
                <w:szCs w:val="24"/>
              </w:rPr>
            </w:pPr>
            <w:hyperlink r:id="rId865" w:history="1">
              <w:r w:rsidR="00A11163" w:rsidRPr="004567E2">
                <w:rPr>
                  <w:rStyle w:val="Hyperlink"/>
                  <w:rFonts w:ascii="Times New Roman" w:hAnsi="Times New Roman" w:cs="Times New Roman"/>
                  <w:sz w:val="24"/>
                  <w:szCs w:val="24"/>
                </w:rPr>
                <w:t>Recommendation ITU-T Q.2931 (1995) Amd. 5 “Support for the International Emergency Preference Scheme”</w:t>
              </w:r>
            </w:hyperlink>
            <w:r w:rsidR="00A11163" w:rsidRPr="004567E2">
              <w:rPr>
                <w:rFonts w:ascii="Times New Roman" w:hAnsi="Times New Roman" w:cs="Times New Roman"/>
                <w:sz w:val="24"/>
                <w:szCs w:val="24"/>
              </w:rPr>
              <w:t xml:space="preserve">: ITU-T Rec. Q.2931 provides basic call and </w:t>
            </w:r>
            <w:r w:rsidR="00A11163" w:rsidRPr="004567E2">
              <w:rPr>
                <w:rFonts w:ascii="Times New Roman" w:hAnsi="Times New Roman" w:cs="Times New Roman"/>
                <w:sz w:val="24"/>
                <w:szCs w:val="24"/>
              </w:rPr>
              <w:lastRenderedPageBreak/>
              <w:t>connection control for point-to-point connections in a B-ISDN. This amendment was produced to meet the need for the implementation of the International Emergency Preference Scheme (IEPS) as specified in ITU-T Rec. E.106. It contains the modifications to ITU-T Rec. Q.2931 (1995) in order to accommodate these needs. This amendment is designed to be compatible with implementations conforming to ITU-T Rec. Q.2931 (1995) and its Amendments 1, 2, 3 and 4.</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866" w:history="1">
              <w:r w:rsidR="00A11163" w:rsidRPr="004567E2">
                <w:rPr>
                  <w:rStyle w:val="Hyperlink"/>
                  <w:rFonts w:ascii="Times New Roman" w:hAnsi="Times New Roman" w:cs="Times New Roman"/>
                  <w:sz w:val="24"/>
                  <w:szCs w:val="24"/>
                </w:rPr>
                <w:t>Supplement 69 to ITU-T Q-series Recommendations “Framework for interconnection between VoLTE-based network and other networks supporting emergency telecommunications service (ETS)”</w:t>
              </w:r>
            </w:hyperlink>
            <w:r w:rsidR="00A11163" w:rsidRPr="004567E2">
              <w:rPr>
                <w:rFonts w:ascii="Times New Roman" w:hAnsi="Times New Roman" w:cs="Times New Roman"/>
                <w:sz w:val="24"/>
                <w:szCs w:val="24"/>
              </w:rPr>
              <w:t xml:space="preserve"> specifies the framework for interconnection between VoLTE-based network and other networks supporting emergency telecommunications service (ETS).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C7, 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rPr>
                <w:rFonts w:ascii="Times New Roman" w:hAnsi="Times New Roman" w:cs="Times New Roman"/>
                <w:b/>
                <w:bCs/>
                <w:sz w:val="24"/>
                <w:szCs w:val="24"/>
              </w:rPr>
            </w:pPr>
            <w:hyperlink r:id="rId867" w:history="1">
              <w:r w:rsidR="00A11163" w:rsidRPr="004567E2">
                <w:rPr>
                  <w:rStyle w:val="Hyperlink"/>
                  <w:rFonts w:ascii="Times New Roman" w:hAnsi="Times New Roman" w:cs="Times New Roman"/>
                  <w:sz w:val="24"/>
                  <w:szCs w:val="24"/>
                </w:rPr>
                <w:t>Recommendation ITU-T Y.1271 “Framework(s) on network requirements and capabilities to support emergency telecommunications over evolving circuit-switched and packet-switched networks”</w:t>
              </w:r>
            </w:hyperlink>
            <w:r w:rsidR="00A11163" w:rsidRPr="004567E2">
              <w:rPr>
                <w:rFonts w:ascii="Times New Roman" w:hAnsi="Times New Roman" w:cs="Times New Roman"/>
                <w:sz w:val="24"/>
                <w:szCs w:val="24"/>
              </w:rPr>
              <w:t xml:space="preserve"> presents an overview of the basic requirements, features, and concepts for emergency telecommunications that evolving networks are capable of providing.</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rPr>
                <w:rFonts w:ascii="Times New Roman" w:hAnsi="Times New Roman" w:cs="Times New Roman"/>
                <w:sz w:val="24"/>
                <w:szCs w:val="24"/>
              </w:rPr>
            </w:pPr>
            <w:hyperlink r:id="rId868" w:history="1">
              <w:r w:rsidR="00A11163" w:rsidRPr="004567E2">
                <w:rPr>
                  <w:rStyle w:val="Hyperlink"/>
                  <w:rFonts w:ascii="Times New Roman" w:hAnsi="Times New Roman" w:cs="Times New Roman"/>
                  <w:sz w:val="24"/>
                  <w:szCs w:val="24"/>
                </w:rPr>
                <w:t>Recommendation ITU-T Y.2205 “Next Generation Networks – Emergency telecommunications – Technical considerations”</w:t>
              </w:r>
            </w:hyperlink>
            <w:r w:rsidR="00A11163" w:rsidRPr="004567E2">
              <w:rPr>
                <w:rFonts w:ascii="Times New Roman" w:hAnsi="Times New Roman" w:cs="Times New Roman"/>
                <w:sz w:val="24"/>
                <w:szCs w:val="24"/>
              </w:rPr>
              <w:t xml:space="preserve"> specifies technical considerations that can optionally be applied within the Next Generation Network (NGN) to enable emergency telecommunications (ET). In addition, the Recommendation also outlines the underlying technical principles involved in supporting ET.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rPr>
                <w:rFonts w:ascii="Times New Roman" w:hAnsi="Times New Roman" w:cs="Times New Roman"/>
                <w:sz w:val="24"/>
                <w:szCs w:val="24"/>
              </w:rPr>
            </w:pPr>
            <w:hyperlink r:id="rId869" w:history="1">
              <w:r w:rsidR="00A11163" w:rsidRPr="004567E2">
                <w:rPr>
                  <w:rStyle w:val="Hyperlink"/>
                  <w:rFonts w:ascii="Times New Roman" w:hAnsi="Times New Roman" w:cs="Times New Roman"/>
                  <w:sz w:val="24"/>
                  <w:szCs w:val="24"/>
                </w:rPr>
                <w:t>Recommendation ITU-T Y.2705 “Minimum security requirements for the interconnection of the Emergency Telecommunications Service (ETS)”</w:t>
              </w:r>
            </w:hyperlink>
            <w:r w:rsidR="00A11163" w:rsidRPr="004567E2">
              <w:rPr>
                <w:rFonts w:ascii="Times New Roman" w:hAnsi="Times New Roman" w:cs="Times New Roman"/>
                <w:sz w:val="24"/>
                <w:szCs w:val="24"/>
              </w:rPr>
              <w:t xml:space="preserve">: Emergency telecommunications service (ETS) is a national service, providing priority communications services to ETS authorized users in times of disaster and emergencies. Recommendation ITU-T Y.2705 provides minimum security requirements for the inter-network interconnection of ETS. This will allow ETS to be supported with the necessary security protection between different national </w:t>
            </w:r>
            <w:r w:rsidR="00A11163" w:rsidRPr="004567E2">
              <w:rPr>
                <w:rFonts w:ascii="Times New Roman" w:hAnsi="Times New Roman" w:cs="Times New Roman"/>
                <w:sz w:val="24"/>
                <w:szCs w:val="24"/>
              </w:rPr>
              <w:lastRenderedPageBreak/>
              <w:t>networks with bilateral and/or multilateral agreements in times of disaster and emergencies.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rPr>
                <w:rFonts w:ascii="Times New Roman" w:hAnsi="Times New Roman" w:cs="Times New Roman"/>
                <w:b/>
                <w:bCs/>
                <w:sz w:val="24"/>
                <w:szCs w:val="24"/>
              </w:rPr>
            </w:pPr>
            <w:hyperlink r:id="rId870" w:tooltip="ITU-T Y.2200-series -  Greenhouse gas monitoring services provided over NGN" w:history="1">
              <w:r w:rsidR="00A11163" w:rsidRPr="004567E2">
                <w:rPr>
                  <w:rStyle w:val="Hyperlink"/>
                  <w:rFonts w:ascii="Times New Roman" w:hAnsi="Times New Roman" w:cs="Times New Roman"/>
                  <w:sz w:val="24"/>
                  <w:szCs w:val="24"/>
                </w:rPr>
                <w:t>Y Suppl. 22: ITU-T Y.2200-series “Greenhouse gas monitoring services provided over NGN</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describes general aspects of the GHG monitoring issue, and it provides requirements and required functions. In addition, a service model and functional architecture for a GHG monitoring service are presented. NGN-based GHG monitoring service scenarios are also presented.</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871" w:history="1">
              <w:r w:rsidR="00A11163" w:rsidRPr="004567E2">
                <w:rPr>
                  <w:rStyle w:val="Hyperlink"/>
                  <w:rFonts w:ascii="Times New Roman" w:hAnsi="Times New Roman" w:cs="Times New Roman"/>
                  <w:sz w:val="24"/>
                  <w:szCs w:val="24"/>
                </w:rPr>
                <w:t>Recommendation ITU-T E.123 “Notation for national and international telephone numbers, e-mail addresses and web addresses”</w:t>
              </w:r>
            </w:hyperlink>
            <w:r w:rsidR="00A11163" w:rsidRPr="004567E2">
              <w:rPr>
                <w:rFonts w:ascii="Times New Roman" w:hAnsi="Times New Roman" w:cs="Times New Roman"/>
                <w:sz w:val="24"/>
                <w:szCs w:val="24"/>
              </w:rPr>
              <w:t xml:space="preserve"> applies specifically to the printing of national and international telephone numbers, electronic mail addresses and Web addresses on letterheads, business cards, bills, etc. Regard has been given to the printing of existing telephone directories. The standard notation for printing telephone numbers, E-mail addresses and Web addresses helps to reduce difficulties and errors, since this address information must be entered exactly to be effective.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C7, 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7835EF" w:rsidP="00A11163">
            <w:pPr>
              <w:rPr>
                <w:rFonts w:ascii="Times New Roman" w:hAnsi="Times New Roman" w:cs="Times New Roman"/>
                <w:sz w:val="24"/>
                <w:szCs w:val="24"/>
              </w:rPr>
            </w:pPr>
            <w:hyperlink r:id="rId872" w:history="1">
              <w:r w:rsidR="00A11163" w:rsidRPr="004567E2">
                <w:rPr>
                  <w:rStyle w:val="Hyperlink"/>
                  <w:rFonts w:ascii="Times New Roman" w:hAnsi="Times New Roman" w:cs="Times New Roman"/>
                  <w:sz w:val="24"/>
                  <w:szCs w:val="24"/>
                </w:rPr>
                <w:t>Recommendation ITU-T E.161.1 “Guidelines to select Emergency Number for public telecommunications networks”</w:t>
              </w:r>
            </w:hyperlink>
            <w:r w:rsidR="00A11163" w:rsidRPr="004567E2">
              <w:rPr>
                <w:rFonts w:ascii="Times New Roman" w:hAnsi="Times New Roman" w:cs="Times New Roman"/>
                <w:sz w:val="24"/>
                <w:szCs w:val="24"/>
              </w:rPr>
              <w:t xml:space="preserve"> provides guidance to help Member States who are in the process of selecting a single emergency number for the first time, or selecting a secondary alternative emergency number for public telecommunications networks.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C7, 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SG16 results</w:t>
            </w:r>
          </w:p>
        </w:tc>
        <w:tc>
          <w:tcPr>
            <w:tcW w:w="8278"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Technical Paper HSTP-DIS-UAV “Use cases and scenarios for disaster information service using unmanned aerial vehicles” describes use cases and scenarios for disaster information service using Unmanned Aerial Vehicles (UAV). UAVs are expected to be applicable to various disaster situations such as drought, fire, flood, landslide, earthquake, volcanic eruption, tsunami, etc. Use cases in all disaster phases are described, including preparedness phase (before disaster), response and relief phase (during disaster), recovery and reconstruction phase (after disaster).</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C7, 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hAnsi="Times New Roman" w:cs="Times New Roman"/>
                <w:b/>
                <w:iCs/>
                <w:sz w:val="24"/>
                <w:szCs w:val="24"/>
              </w:rPr>
            </w:pPr>
            <w:hyperlink r:id="rId873" w:history="1">
              <w:r w:rsidR="00A11163" w:rsidRPr="004567E2">
                <w:rPr>
                  <w:rStyle w:val="Hyperlink"/>
                  <w:rFonts w:ascii="Times New Roman" w:eastAsia="Times New Roman" w:hAnsi="Times New Roman" w:cs="Times New Roman"/>
                  <w:sz w:val="24"/>
                  <w:szCs w:val="24"/>
                </w:rPr>
                <w:t>Recommendation ITU-T X.1303 “Common alerting protocol (CAP 1.1)”</w:t>
              </w:r>
            </w:hyperlink>
            <w:r w:rsidR="00A11163" w:rsidRPr="004567E2">
              <w:rPr>
                <w:rFonts w:ascii="Times New Roman" w:eastAsia="Times New Roman" w:hAnsi="Times New Roman" w:cs="Times New Roman"/>
                <w:sz w:val="24"/>
                <w:szCs w:val="24"/>
              </w:rPr>
              <w:t xml:space="preserve">: </w:t>
            </w:r>
            <w:r w:rsidR="00A11163" w:rsidRPr="004567E2">
              <w:rPr>
                <w:rFonts w:ascii="Times New Roman" w:hAnsi="Times New Roman" w:cs="Times New Roman"/>
                <w:sz w:val="24"/>
                <w:szCs w:val="24"/>
              </w:rPr>
              <w:t>The common alerting protocol (CAP) is a simple but general format for exchanging all-</w:t>
            </w:r>
            <w:r w:rsidR="00A11163" w:rsidRPr="004567E2">
              <w:rPr>
                <w:rFonts w:ascii="Times New Roman" w:hAnsi="Times New Roman" w:cs="Times New Roman"/>
                <w:sz w:val="24"/>
                <w:szCs w:val="24"/>
              </w:rPr>
              <w:lastRenderedPageBreak/>
              <w:t>hazard emergency alerts and public warnings over all kinds of networks. CAP allows a consistent warning message to be disseminated simultaneously over many different warning systems, thus increasing warning effectiveness while simplifying the warning task. CAP also facilitates the detection of emerging patterns in local warnings of various kinds, such as might indicate an undetected hazard or hostile act. CAP also provides a template for effective warning messages based on best practices identified in academic research and real-world experience. ITU-T Recommendation X.1303 also provides both an XSD specification and an equivalent ASN.1 specification (that permits a compact binary encoding) and allows the use of ASN.1 as well as XSD tools for the generation and processing of CAP messages. This Recommendation enables existing systems, such as H.323 systems, to more readily encode, transport and decode CAP messages.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lastRenderedPageBreak/>
              <w:t>C7,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Fonts w:ascii="Times New Roman" w:eastAsia="Times New Roman" w:hAnsi="Times New Roman" w:cs="Times New Roman"/>
                <w:sz w:val="24"/>
                <w:szCs w:val="24"/>
              </w:rPr>
            </w:pPr>
            <w:hyperlink r:id="rId874" w:history="1">
              <w:r w:rsidR="00A11163" w:rsidRPr="004567E2">
                <w:rPr>
                  <w:rStyle w:val="Hyperlink"/>
                  <w:rFonts w:ascii="Times New Roman" w:eastAsia="Times New Roman" w:hAnsi="Times New Roman" w:cs="Times New Roman"/>
                  <w:sz w:val="24"/>
                  <w:szCs w:val="24"/>
                </w:rPr>
                <w:t>Recommendation ITU-T X.1303bis “Common alerting protocol (CAP 1.2)”</w:t>
              </w:r>
            </w:hyperlink>
            <w:r w:rsidR="00A11163" w:rsidRPr="004567E2">
              <w:rPr>
                <w:rFonts w:ascii="Times New Roman" w:eastAsia="Times New Roman" w:hAnsi="Times New Roman" w:cs="Times New Roman"/>
                <w:sz w:val="24"/>
                <w:szCs w:val="24"/>
              </w:rPr>
              <w:t>: The common alerting protocol (CAP) is a simple but general format for exchanging all-hazard emergency alerts and public warnings over all kinds of networks. CAP allows a consistent warning message to be disseminated simultaneously over many different warning systems, thus increasing warning effectiveness while simplifying the warning task. CAP also facilitates the detection of emerging patterns in local warnings of various kinds, such as an undetected hazard or hostile act might indicate. CAP also provides a template for effective warning messages based on best practices identified in academic research and real-world experience.</w:t>
            </w:r>
          </w:p>
          <w:p w:rsidR="00A11163" w:rsidRPr="004567E2" w:rsidRDefault="00A11163" w:rsidP="00A11163">
            <w:pPr>
              <w:pStyle w:val="Default"/>
              <w:rPr>
                <w:rFonts w:ascii="Times New Roman" w:hAnsi="Times New Roman" w:cs="Times New Roman"/>
                <w:b/>
                <w:bCs/>
              </w:rPr>
            </w:pPr>
            <w:r w:rsidRPr="004567E2">
              <w:rPr>
                <w:rFonts w:ascii="Times New Roman" w:eastAsia="Times New Roman" w:hAnsi="Times New Roman" w:cs="Times New Roman"/>
              </w:rPr>
              <w:t>Recommendation ITU-T X.1303 bis also provides both an XML schema definition (XSD) specification and an equivalent ASN.1 specification (which permits a compact binary encoding) and allows the use of abstract syntax notation one (ASN.1) as well as XSD tools for the generation and processing of CAP messages. This Recommendation enables existing systems, such as ITU-T H.323 systems, to more readily encode, transport and decode CAP messages.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C7,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SG5 results</w:t>
            </w:r>
          </w:p>
        </w:tc>
        <w:tc>
          <w:tcPr>
            <w:tcW w:w="8278" w:type="dxa"/>
          </w:tcPr>
          <w:p w:rsidR="00A11163" w:rsidRPr="004567E2" w:rsidRDefault="00A11163" w:rsidP="00A11163">
            <w:pPr>
              <w:rPr>
                <w:rFonts w:ascii="Times New Roman" w:hAnsi="Times New Roman" w:cs="Times New Roman"/>
                <w:bCs/>
                <w:iCs/>
                <w:sz w:val="24"/>
                <w:szCs w:val="24"/>
              </w:rPr>
            </w:pPr>
            <w:r w:rsidRPr="004567E2">
              <w:rPr>
                <w:rFonts w:ascii="Times New Roman" w:hAnsi="Times New Roman" w:cs="Times New Roman"/>
                <w:bCs/>
                <w:iCs/>
                <w:sz w:val="24"/>
                <w:szCs w:val="24"/>
              </w:rPr>
              <w:t>Publications</w:t>
            </w:r>
            <w:r w:rsidRPr="004567E2">
              <w:rPr>
                <w:rFonts w:ascii="Times New Roman" w:hAnsi="Times New Roman" w:cs="Times New Roman"/>
                <w:bCs/>
                <w:sz w:val="24"/>
                <w:szCs w:val="24"/>
              </w:rPr>
              <w:t xml:space="preserve"> of various guidelines by SG5 on how ICTs are fundamental for monitoring climate change, mitigating and adapting to its effects</w:t>
            </w:r>
          </w:p>
          <w:p w:rsidR="00A11163" w:rsidRPr="004567E2" w:rsidRDefault="00A11163" w:rsidP="00A11163">
            <w:pPr>
              <w:rPr>
                <w:rFonts w:ascii="Times New Roman" w:hAnsi="Times New Roman" w:cs="Times New Roman"/>
                <w:bCs/>
                <w:iCs/>
                <w:sz w:val="24"/>
                <w:szCs w:val="24"/>
              </w:rPr>
            </w:pPr>
            <w:r w:rsidRPr="004567E2">
              <w:rPr>
                <w:rFonts w:ascii="Times New Roman" w:hAnsi="Times New Roman" w:cs="Times New Roman"/>
                <w:bCs/>
                <w:iCs/>
                <w:sz w:val="24"/>
                <w:szCs w:val="24"/>
              </w:rPr>
              <w:lastRenderedPageBreak/>
              <w:t>ITU-T Study Group 5 (SG5) on Environment and Climate Change is responsible for studies on methodologies for examining the potential role of ICTs in climate change related activities. ITU-T has published various guidelines and Recommendations on how ICTs are fundamental for monitoring climate change, mitigating and adapting to its effects and assisting in the transition towards a green economy.</w:t>
            </w:r>
          </w:p>
          <w:p w:rsidR="00A11163" w:rsidRPr="004567E2" w:rsidRDefault="00A11163" w:rsidP="00A11163">
            <w:pPr>
              <w:rPr>
                <w:rStyle w:val="Hyperlink"/>
                <w:rFonts w:ascii="Times New Roman" w:hAnsi="Times New Roman" w:cs="Times New Roman"/>
                <w:sz w:val="24"/>
                <w:szCs w:val="24"/>
              </w:rPr>
            </w:pPr>
            <w:r w:rsidRPr="004567E2">
              <w:rPr>
                <w:rFonts w:ascii="Times New Roman" w:hAnsi="Times New Roman" w:cs="Times New Roman"/>
                <w:bCs/>
                <w:iCs/>
                <w:sz w:val="24"/>
                <w:szCs w:val="24"/>
              </w:rPr>
              <w:t>By raising awareness of the role of ICTs, ITU-T SG5 is promoting transformative solutions that can ensure a sustainable future for all and reduce the impacts of unforeseen disasters.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9.1, 13.3</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875" w:history="1">
              <w:r w:rsidR="00A11163" w:rsidRPr="004567E2">
                <w:rPr>
                  <w:rStyle w:val="Hyperlink"/>
                  <w:rFonts w:ascii="Times New Roman" w:eastAsia="SimSun" w:hAnsi="Times New Roman" w:cs="Times New Roman"/>
                  <w:sz w:val="24"/>
                  <w:szCs w:val="24"/>
                </w:rPr>
                <w:t>Recommendation ITU-T Y.2720 “NGN identity management framework”</w:t>
              </w:r>
            </w:hyperlink>
            <w:r w:rsidR="00A11163" w:rsidRPr="004567E2">
              <w:rPr>
                <w:rFonts w:ascii="Times New Roman" w:eastAsia="SimSun" w:hAnsi="Times New Roman" w:cs="Times New Roman"/>
                <w:sz w:val="24"/>
                <w:szCs w:val="24"/>
              </w:rPr>
              <w:t xml:space="preserve"> provides a framework for identity management (IdM) in next generation networks (NGN). The primary purpose of this framework is to describe a structured approach for designing, defining, and implementing IdM solutions and for facilitating interoperability in a heterogeneous environment.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9.1, 16.9</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eastAsia="SimSun" w:hAnsi="Times New Roman" w:cs="Times New Roman"/>
                <w:sz w:val="24"/>
                <w:szCs w:val="24"/>
              </w:rPr>
            </w:pPr>
            <w:hyperlink r:id="rId876" w:history="1">
              <w:r w:rsidR="00A11163" w:rsidRPr="004567E2">
                <w:rPr>
                  <w:rStyle w:val="Hyperlink"/>
                  <w:rFonts w:ascii="Times New Roman" w:eastAsia="SimSun" w:hAnsi="Times New Roman" w:cs="Times New Roman"/>
                  <w:sz w:val="24"/>
                  <w:szCs w:val="24"/>
                </w:rPr>
                <w:t>Recommendation ITU-T Y.2721 “NGN identity management requirements and use cases”</w:t>
              </w:r>
            </w:hyperlink>
            <w:r w:rsidR="00A11163" w:rsidRPr="004567E2">
              <w:rPr>
                <w:rFonts w:ascii="Times New Roman" w:eastAsia="SimSun" w:hAnsi="Times New Roman" w:cs="Times New Roman"/>
                <w:sz w:val="24"/>
                <w:szCs w:val="24"/>
              </w:rPr>
              <w:t xml:space="preserve"> provides identity management (IdM) example use cases and requirements for the next generation network (NGN) and its interfaces. IdM functions and capabilities are used to increase confidence in identity information and support and enhance business and security applications including identity-based services.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9.1, 16.9</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eastAsia="Times New Roman" w:hAnsi="Times New Roman" w:cs="Times New Roman"/>
                <w:bCs/>
                <w:color w:val="000000" w:themeColor="text1"/>
                <w:sz w:val="24"/>
                <w:szCs w:val="24"/>
              </w:rPr>
            </w:pPr>
            <w:hyperlink r:id="rId877" w:history="1">
              <w:r w:rsidR="00A11163" w:rsidRPr="004567E2">
                <w:rPr>
                  <w:rStyle w:val="Hyperlink"/>
                  <w:rFonts w:ascii="Times New Roman" w:eastAsia="Times New Roman" w:hAnsi="Times New Roman" w:cs="Times New Roman"/>
                  <w:bCs/>
                  <w:sz w:val="24"/>
                  <w:szCs w:val="24"/>
                </w:rPr>
                <w:t>Recommendation ITU-T Y.2721 “</w:t>
              </w:r>
              <w:r w:rsidR="00A11163" w:rsidRPr="004567E2">
                <w:rPr>
                  <w:rStyle w:val="Hyperlink"/>
                  <w:rFonts w:ascii="Times New Roman" w:hAnsi="Times New Roman" w:cs="Times New Roman"/>
                  <w:sz w:val="24"/>
                  <w:szCs w:val="24"/>
                </w:rPr>
                <w:t>NGN identity management requirements and use cases</w:t>
              </w:r>
              <w:r w:rsidR="00A11163" w:rsidRPr="004567E2">
                <w:rPr>
                  <w:rStyle w:val="Hyperlink"/>
                  <w:rFonts w:ascii="Times New Roman" w:eastAsia="Times New Roman" w:hAnsi="Times New Roman" w:cs="Times New Roman"/>
                  <w:bCs/>
                  <w:sz w:val="24"/>
                  <w:szCs w:val="24"/>
                </w:rPr>
                <w:t>”</w:t>
              </w:r>
            </w:hyperlink>
            <w:r w:rsidR="00A11163" w:rsidRPr="004567E2">
              <w:rPr>
                <w:rFonts w:ascii="Times New Roman" w:eastAsia="Times New Roman" w:hAnsi="Times New Roman" w:cs="Times New Roman"/>
                <w:bCs/>
                <w:color w:val="000000" w:themeColor="text1"/>
                <w:sz w:val="24"/>
                <w:szCs w:val="24"/>
              </w:rPr>
              <w:t xml:space="preserve"> </w:t>
            </w:r>
            <w:r w:rsidR="00A11163" w:rsidRPr="004567E2">
              <w:rPr>
                <w:rFonts w:ascii="Times New Roman" w:hAnsi="Times New Roman" w:cs="Times New Roman"/>
                <w:sz w:val="24"/>
                <w:szCs w:val="24"/>
              </w:rPr>
              <w:t xml:space="preserve">provides identity management (IdM) example use cases and requirements for the next generation network (NGN) and its interfaces. IdM functions and capabilities are used to increase confidence in identity information and support and enhance business and security applications including identity-based services. The requirements provided in this Recommendation are intended for NGN (i.e., managed packet networks) as defined in Recommendation ITU-T Y.2001.The objectives and requirements in this Recommendation are based on the IdM framework provided in Recommendation ITU-T Y.2720 and an analysis of use case examples relevant to NGN. The example use cases are informative and are </w:t>
            </w:r>
            <w:r w:rsidR="00A11163" w:rsidRPr="004567E2">
              <w:rPr>
                <w:rFonts w:ascii="Times New Roman" w:hAnsi="Times New Roman" w:cs="Times New Roman"/>
                <w:sz w:val="24"/>
                <w:szCs w:val="24"/>
              </w:rPr>
              <w:lastRenderedPageBreak/>
              <w:t>documented in the appendices of this Recommendation.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9.1, 16.9</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eastAsia="Times New Roman" w:hAnsi="Times New Roman" w:cs="Times New Roman"/>
                <w:bCs/>
                <w:color w:val="000000" w:themeColor="text1"/>
                <w:sz w:val="24"/>
                <w:szCs w:val="24"/>
              </w:rPr>
            </w:pPr>
            <w:hyperlink r:id="rId878" w:history="1">
              <w:r w:rsidR="00A11163" w:rsidRPr="004567E2">
                <w:rPr>
                  <w:rStyle w:val="Hyperlink"/>
                  <w:rFonts w:ascii="Times New Roman" w:eastAsia="Times New Roman" w:hAnsi="Times New Roman" w:cs="Times New Roman"/>
                  <w:bCs/>
                  <w:sz w:val="24"/>
                  <w:szCs w:val="24"/>
                </w:rPr>
                <w:t>Recommendation ITU-T Y.2722 “NGN identity management mechanisms”</w:t>
              </w:r>
            </w:hyperlink>
            <w:r w:rsidR="00A11163" w:rsidRPr="004567E2">
              <w:rPr>
                <w:rFonts w:ascii="Times New Roman" w:eastAsia="Times New Roman" w:hAnsi="Times New Roman" w:cs="Times New Roman"/>
                <w:bCs/>
                <w:color w:val="000000" w:themeColor="text1"/>
                <w:sz w:val="24"/>
                <w:szCs w:val="24"/>
              </w:rPr>
              <w:t xml:space="preserve"> specifies the mechanisms that can be used to meet the identity management (IdM) requirements and deployment needs of next generation networks (NGN).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9.1, 16.9</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eastAsia="Times New Roman" w:hAnsi="Times New Roman" w:cs="Times New Roman"/>
                <w:bCs/>
                <w:color w:val="000000" w:themeColor="text1"/>
                <w:sz w:val="24"/>
                <w:szCs w:val="24"/>
              </w:rPr>
            </w:pPr>
            <w:hyperlink r:id="rId879" w:history="1">
              <w:r w:rsidR="00A11163" w:rsidRPr="004567E2">
                <w:rPr>
                  <w:rStyle w:val="Hyperlink"/>
                  <w:rFonts w:ascii="Times New Roman" w:eastAsia="Times New Roman" w:hAnsi="Times New Roman" w:cs="Times New Roman"/>
                  <w:bCs/>
                  <w:sz w:val="24"/>
                  <w:szCs w:val="24"/>
                </w:rPr>
                <w:t>Recommendation ITU-T Y.2723 “Support for OAuth in next generation networks”</w:t>
              </w:r>
            </w:hyperlink>
            <w:r w:rsidR="00A11163" w:rsidRPr="004567E2">
              <w:rPr>
                <w:rFonts w:ascii="Times New Roman" w:eastAsia="Times New Roman" w:hAnsi="Times New Roman" w:cs="Times New Roman"/>
                <w:bCs/>
                <w:color w:val="000000" w:themeColor="text1"/>
                <w:sz w:val="24"/>
                <w:szCs w:val="24"/>
              </w:rPr>
              <w:t xml:space="preserve"> specifies the mechanisms and procedures for employing "The OAuth 2.0 Authorization Framework (OAuth)", defined by the Internet Engineering Task Force, for the scenarios where the role of the OAuth authorization server is performed by a next generation network (NGN) provider.</w:t>
            </w:r>
            <w:r w:rsidR="00A11163" w:rsidRPr="004567E2">
              <w:rPr>
                <w:rFonts w:ascii="Times New Roman" w:eastAsia="Times New Roman" w:hAnsi="Times New Roman" w:cs="Times New Roman"/>
                <w:bCs/>
                <w:color w:val="000000" w:themeColor="text1"/>
                <w:sz w:val="24"/>
                <w:szCs w:val="24"/>
              </w:rPr>
              <w:br/>
              <w:t>The companion document, Recommendation ITU-T Y.2724, "Framework for supporting OAuth and OpenID in next generation networks", provides the context, architectural considerations and high-level framework for employing OAuth in NGNs.</w:t>
            </w:r>
            <w:r w:rsidR="00A11163" w:rsidRPr="004567E2">
              <w:rPr>
                <w:rFonts w:ascii="Times New Roman" w:eastAsia="Times New Roman" w:hAnsi="Times New Roman" w:cs="Times New Roman"/>
                <w:bCs/>
                <w:color w:val="000000" w:themeColor="text1"/>
                <w:sz w:val="24"/>
                <w:szCs w:val="24"/>
              </w:rPr>
              <w:br/>
              <w:t>This Recommendation specifies the requirements pertinent to the restriction of OAuth option selections, as well as additional requirements that make the use of OAuth consistent with NGN security and identity management requirements.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C5,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9.1, 16.9</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rPr>
                <w:rFonts w:ascii="Times New Roman" w:eastAsia="Times New Roman" w:hAnsi="Times New Roman" w:cs="Times New Roman"/>
                <w:bCs/>
                <w:color w:val="000000" w:themeColor="text1"/>
                <w:sz w:val="24"/>
                <w:szCs w:val="24"/>
              </w:rPr>
            </w:pPr>
            <w:hyperlink r:id="rId880" w:history="1">
              <w:r w:rsidR="00A11163" w:rsidRPr="004567E2">
                <w:rPr>
                  <w:rStyle w:val="Hyperlink"/>
                  <w:rFonts w:ascii="Times New Roman" w:eastAsia="Times New Roman" w:hAnsi="Times New Roman" w:cs="Times New Roman"/>
                  <w:bCs/>
                  <w:sz w:val="24"/>
                  <w:szCs w:val="24"/>
                </w:rPr>
                <w:t>Recommendation ITU-T Y.2724 “Framework for supporting OAuth and OpenID in next generation networks”</w:t>
              </w:r>
            </w:hyperlink>
            <w:r w:rsidR="00A11163" w:rsidRPr="004567E2">
              <w:rPr>
                <w:rFonts w:ascii="Times New Roman" w:eastAsia="Times New Roman" w:hAnsi="Times New Roman" w:cs="Times New Roman"/>
                <w:bCs/>
                <w:color w:val="000000" w:themeColor="text1"/>
                <w:sz w:val="24"/>
                <w:szCs w:val="24"/>
              </w:rPr>
              <w:t xml:space="preserve"> describes a framework for the support and use of the IETF open authorization protocol (OAuth) and the OpenID protocol in the context of next generation networks (NGNs). Both protocols have been defined for general use on the worldwide web.</w:t>
            </w:r>
            <w:r w:rsidR="00A11163" w:rsidRPr="004567E2">
              <w:rPr>
                <w:rFonts w:ascii="Times New Roman" w:eastAsia="Times New Roman" w:hAnsi="Times New Roman" w:cs="Times New Roman"/>
                <w:bCs/>
                <w:color w:val="000000" w:themeColor="text1"/>
                <w:sz w:val="24"/>
                <w:szCs w:val="24"/>
              </w:rPr>
              <w:br/>
              <w:t>The heightened security and identity management requirements of NGNs require careful restriction of the above protocols. This Recommendation explains the applicability of these protocols to NGNs and provides high-level guidelines for their use.</w:t>
            </w:r>
            <w:r w:rsidR="00A11163" w:rsidRPr="004567E2">
              <w:rPr>
                <w:rFonts w:ascii="Times New Roman" w:eastAsia="Times New Roman" w:hAnsi="Times New Roman" w:cs="Times New Roman"/>
                <w:bCs/>
                <w:color w:val="000000" w:themeColor="text1"/>
                <w:sz w:val="24"/>
                <w:szCs w:val="24"/>
              </w:rPr>
              <w:br/>
              <w:t>The companion Recommendation ITU-T Y.2723, "Support for OAuth in next generation networks" provides a detailed set of NGN profiles.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C5,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9.1, 16.9</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SG13 results</w:t>
            </w:r>
          </w:p>
        </w:tc>
        <w:tc>
          <w:tcPr>
            <w:tcW w:w="8278" w:type="dxa"/>
          </w:tcPr>
          <w:p w:rsidR="00A11163" w:rsidRPr="004567E2" w:rsidRDefault="007835EF" w:rsidP="00A11163">
            <w:pPr>
              <w:widowControl w:val="0"/>
              <w:rPr>
                <w:rFonts w:ascii="Times New Roman" w:eastAsia="Times New Roman" w:hAnsi="Times New Roman" w:cs="Times New Roman"/>
                <w:bCs/>
                <w:color w:val="000000" w:themeColor="text1"/>
                <w:sz w:val="24"/>
                <w:szCs w:val="24"/>
              </w:rPr>
            </w:pPr>
            <w:hyperlink r:id="rId881" w:history="1">
              <w:r w:rsidR="00A11163" w:rsidRPr="004567E2">
                <w:rPr>
                  <w:rStyle w:val="Hyperlink"/>
                  <w:rFonts w:ascii="Times New Roman" w:eastAsia="Times New Roman" w:hAnsi="Times New Roman" w:cs="Times New Roman"/>
                  <w:bCs/>
                  <w:sz w:val="24"/>
                  <w:szCs w:val="24"/>
                </w:rPr>
                <w:t>Recommendation ITU-T Y.2725 “Support of OpenID in next generation networks”</w:t>
              </w:r>
            </w:hyperlink>
            <w:r w:rsidR="00A11163" w:rsidRPr="004567E2">
              <w:rPr>
                <w:rFonts w:ascii="Times New Roman" w:eastAsia="Times New Roman" w:hAnsi="Times New Roman" w:cs="Times New Roman"/>
                <w:bCs/>
                <w:color w:val="000000" w:themeColor="text1"/>
                <w:sz w:val="24"/>
                <w:szCs w:val="24"/>
              </w:rPr>
              <w:t xml:space="preserve"> specifies mechanisms and procedures for supporting and using OpenID for the scenarios where the role of OpenID provider is performed by the NGN provider.</w:t>
            </w:r>
            <w:r w:rsidR="00A11163" w:rsidRPr="004567E2">
              <w:rPr>
                <w:rFonts w:ascii="Times New Roman" w:eastAsia="Times New Roman" w:hAnsi="Times New Roman" w:cs="Times New Roman"/>
                <w:bCs/>
                <w:color w:val="000000" w:themeColor="text1"/>
                <w:sz w:val="24"/>
                <w:szCs w:val="24"/>
              </w:rPr>
              <w:br/>
              <w:t>Recommendation ITU-T Y.2724 provides a framework for NGN support and the use of OAuth and OpenID. Recommendation ITU-T Y.2725 builds upon Recommendation ITU-T Y.2722 and Recommendation ITU-T Y.2724 to define specific mechanisms for supporting OpenID.</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C5,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9.1, 16.9</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rPr>
                <w:rStyle w:val="Hyperlink"/>
                <w:rFonts w:ascii="Times New Roman" w:hAnsi="Times New Roman" w:cs="Times New Roman"/>
                <w:sz w:val="24"/>
                <w:szCs w:val="24"/>
              </w:rPr>
            </w:pPr>
            <w:hyperlink r:id="rId882" w:history="1">
              <w:r w:rsidR="00A11163" w:rsidRPr="004567E2">
                <w:rPr>
                  <w:rStyle w:val="Hyperlink"/>
                  <w:rFonts w:ascii="Times New Roman" w:hAnsi="Times New Roman" w:cs="Times New Roman"/>
                  <w:sz w:val="24"/>
                  <w:szCs w:val="24"/>
                </w:rPr>
                <w:t>Joint Coordination Activity for Identity Management</w:t>
              </w:r>
            </w:hyperlink>
            <w:r w:rsidR="00A11163" w:rsidRPr="004567E2">
              <w:rPr>
                <w:rFonts w:ascii="Times New Roman" w:hAnsi="Times New Roman" w:cs="Times New Roman"/>
                <w:sz w:val="24"/>
                <w:szCs w:val="24"/>
              </w:rPr>
              <w:t xml:space="preserve"> (JCA-IdM) </w:t>
            </w:r>
            <w:r w:rsidR="00A11163" w:rsidRPr="004567E2">
              <w:rPr>
                <w:rFonts w:ascii="Times New Roman" w:eastAsia="Times New Roman" w:hAnsi="Times New Roman" w:cs="Times New Roman"/>
                <w:bCs/>
                <w:color w:val="000000" w:themeColor="text1"/>
                <w:sz w:val="24"/>
                <w:szCs w:val="24"/>
                <w:lang w:val="en-US" w:eastAsia="en-US"/>
              </w:rPr>
              <w:t>coordinates the ITU-T identity management (IdM) work. The term IdM is defined in Recommendation ITU-T X.1252. This management of digital identities is not intended to indicate positive validation of a person.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9.1, 16.9</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883" w:history="1">
              <w:r w:rsidR="00A11163" w:rsidRPr="004567E2">
                <w:rPr>
                  <w:rStyle w:val="Hyperlink"/>
                  <w:rFonts w:ascii="Times New Roman" w:hAnsi="Times New Roman" w:cs="Times New Roman"/>
                  <w:sz w:val="24"/>
                  <w:szCs w:val="24"/>
                </w:rPr>
                <w:t>Recommendation ITU-T X.509 “Information technology - Open Systems Interconnection - The Directory: Public-key and attribute certificate frameworks”</w:t>
              </w:r>
            </w:hyperlink>
            <w:r w:rsidR="00A11163" w:rsidRPr="004567E2">
              <w:rPr>
                <w:rFonts w:ascii="Times New Roman" w:hAnsi="Times New Roman" w:cs="Times New Roman"/>
                <w:sz w:val="24"/>
                <w:szCs w:val="24"/>
              </w:rPr>
              <w:t xml:space="preserve"> </w:t>
            </w:r>
            <w:r w:rsidR="00A11163" w:rsidRPr="004567E2">
              <w:rPr>
                <w:rFonts w:ascii="Times New Roman" w:eastAsia="SimSun" w:hAnsi="Times New Roman" w:cs="Times New Roman"/>
                <w:sz w:val="24"/>
                <w:szCs w:val="24"/>
              </w:rPr>
              <w:t>defines frameworks for public-key infrastructure (PKI) and privilege management infrastructure (PMI). It introduces the basic concept of asymmetric cryptographic techniques. It specifies the following data types: public-key certificate, attribute certificate, certificate revocation list (CRL) and attribute certificate revocation list (ACRL). It also defines several certificates and CRL extensions, and it defines directory schema information allowing PKI and PMI related data to be stored in a directory. In addition, it defines entity types, such as certification authority (CA), attribute authority (AA), relying party, privilege verifier, trust broker and trust anchor. It specifies the principles for certificate validation, validation path, certificate policy etc. It includes a specification for authorization validation lists that allow for fast validation and restrictions on communications. It includes protocols necessary for maintaining authorization validation lists and a protocol for accessing a trust broker.</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9.1, 16.9</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884" w:history="1">
              <w:r w:rsidR="00A11163" w:rsidRPr="004567E2">
                <w:rPr>
                  <w:rStyle w:val="Hyperlink"/>
                  <w:rFonts w:ascii="Times New Roman" w:hAnsi="Times New Roman" w:cs="Times New Roman"/>
                  <w:sz w:val="24"/>
                  <w:szCs w:val="24"/>
                </w:rPr>
                <w:t>Recommendation ITU-T X.1250 “Baseline capabilities for enhanced global identity management and interoperability”</w:t>
              </w:r>
            </w:hyperlink>
            <w:r w:rsidR="00A11163" w:rsidRPr="004567E2">
              <w:rPr>
                <w:rFonts w:ascii="Times New Roman" w:hAnsi="Times New Roman" w:cs="Times New Roman"/>
                <w:sz w:val="24"/>
                <w:szCs w:val="24"/>
              </w:rPr>
              <w:t xml:space="preserve"> describes baseline capabilities for global identity management (IdM) interoperability (i.e., to enhance exchange and trust in the </w:t>
            </w:r>
            <w:r w:rsidR="00A11163" w:rsidRPr="004567E2">
              <w:rPr>
                <w:rFonts w:ascii="Times New Roman" w:hAnsi="Times New Roman" w:cs="Times New Roman"/>
                <w:sz w:val="24"/>
                <w:szCs w:val="24"/>
              </w:rPr>
              <w:lastRenderedPageBreak/>
              <w:t>identifiers used by entities in telecommunication/information technology IT networks and services). The definitions and need for IdM are highly context-dependent and often subject to very different policies and practices in different countries. The capabilities include the protection and control of personally identifiable information (PII).</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9.1, 16.9</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885" w:history="1">
              <w:r w:rsidR="00A11163" w:rsidRPr="004567E2">
                <w:rPr>
                  <w:rStyle w:val="Hyperlink"/>
                  <w:rFonts w:ascii="Times New Roman" w:hAnsi="Times New Roman" w:cs="Times New Roman"/>
                  <w:sz w:val="24"/>
                  <w:szCs w:val="24"/>
                </w:rPr>
                <w:t>Recommendation ITU-T X.1252 “Baseline identity management terms and definitions”</w:t>
              </w:r>
            </w:hyperlink>
            <w:r w:rsidR="00A11163" w:rsidRPr="004567E2">
              <w:rPr>
                <w:rFonts w:ascii="Times New Roman" w:hAnsi="Times New Roman" w:cs="Times New Roman"/>
                <w:sz w:val="24"/>
                <w:szCs w:val="24"/>
              </w:rPr>
              <w:t xml:space="preserve"> provides definitions of key terms used in identity management (IdM). The terms are drawn from many sources but all are believed to be in common use in IdM work. This Recommendation is not intended to be a huge compendium of IdM-related terms. Instead, the terms defined here are limited to those considered to constitute a baseline list of the most important and commonly-used IdM-specific terms. This Recommendation includes Annex A that explains the rationale for some of these key terms.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9.1, 16.9</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886" w:history="1">
              <w:r w:rsidR="00A11163" w:rsidRPr="004567E2">
                <w:rPr>
                  <w:rStyle w:val="Hyperlink"/>
                  <w:rFonts w:ascii="Times New Roman" w:hAnsi="Times New Roman" w:cs="Times New Roman"/>
                  <w:sz w:val="24"/>
                  <w:szCs w:val="24"/>
                </w:rPr>
                <w:t>Recommendation ITU-T X.1253 “Security guidelines for identity management systems”</w:t>
              </w:r>
            </w:hyperlink>
            <w:r w:rsidR="00A11163" w:rsidRPr="004567E2">
              <w:rPr>
                <w:rFonts w:ascii="Times New Roman" w:hAnsi="Times New Roman" w:cs="Times New Roman"/>
                <w:sz w:val="24"/>
                <w:szCs w:val="24"/>
              </w:rPr>
              <w:t xml:space="preserve"> proposes security guidelines for identity management (IdM) systems. The security guidelines provide how an IdM system should be deployed and operated for secure identity services in NGN (Next Generation Network) or cyberspace environment. The security guidelines focus on providing official advice how to employ various security mechanisms to protect a general IdM system and it also provides proper security procedures required when two IdM systems are interoperated.</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9.1, 16.9</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887" w:history="1">
              <w:r w:rsidR="00A11163" w:rsidRPr="004567E2">
                <w:rPr>
                  <w:rStyle w:val="Hyperlink"/>
                  <w:rFonts w:ascii="Times New Roman" w:hAnsi="Times New Roman" w:cs="Times New Roman"/>
                  <w:sz w:val="24"/>
                  <w:szCs w:val="24"/>
                </w:rPr>
                <w:t>Recommendation ITU-T X.1254 “Entity authentication assurance framework”</w:t>
              </w:r>
            </w:hyperlink>
            <w:r w:rsidR="00A11163" w:rsidRPr="004567E2">
              <w:rPr>
                <w:rFonts w:ascii="Times New Roman" w:hAnsi="Times New Roman" w:cs="Times New Roman"/>
                <w:sz w:val="24"/>
                <w:szCs w:val="24"/>
              </w:rPr>
              <w:t xml:space="preserve"> defines four levels of entity authentication assurance (i.e., LoA 1 – LoA 4), and the criteria and threats for each of the four levels of entity authentication assurance.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9.1, 16.9</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hAnsi="Times New Roman" w:cs="Times New Roman"/>
                <w:sz w:val="24"/>
                <w:szCs w:val="24"/>
              </w:rPr>
            </w:pPr>
            <w:hyperlink r:id="rId888" w:history="1">
              <w:r w:rsidR="00A11163" w:rsidRPr="004567E2">
                <w:rPr>
                  <w:rStyle w:val="Hyperlink"/>
                  <w:rFonts w:ascii="Times New Roman" w:hAnsi="Times New Roman" w:cs="Times New Roman"/>
                  <w:sz w:val="24"/>
                  <w:szCs w:val="24"/>
                </w:rPr>
                <w:t>Recommendation ITU-T X.1255 “Framework for discovery of identity management information”</w:t>
              </w:r>
            </w:hyperlink>
            <w:r w:rsidR="00A11163" w:rsidRPr="004567E2">
              <w:rPr>
                <w:rFonts w:ascii="Times New Roman" w:hAnsi="Times New Roman" w:cs="Times New Roman"/>
                <w:sz w:val="24"/>
                <w:szCs w:val="24"/>
              </w:rPr>
              <w:t xml:space="preserve"> provide an open architecture framework in which identity management information can be discovered. This IdM information will necessarily be represented in different ways and supported by various trust frameworks or other IdM systems using different metadata schemas. This </w:t>
            </w:r>
            <w:r w:rsidR="00A11163" w:rsidRPr="004567E2">
              <w:rPr>
                <w:rFonts w:ascii="Times New Roman" w:hAnsi="Times New Roman" w:cs="Times New Roman"/>
                <w:sz w:val="24"/>
                <w:szCs w:val="24"/>
              </w:rPr>
              <w:lastRenderedPageBreak/>
              <w:t xml:space="preserve">framework will enable, for example, entities operating within the context of one IdM system to have identifiers from other IdM systems accurately resolved. </w:t>
            </w:r>
            <w:r w:rsidR="00A11163" w:rsidRPr="004567E2">
              <w:rPr>
                <w:rFonts w:ascii="Times New Roman" w:eastAsia="MS Mincho" w:hAnsi="Times New Roman" w:cs="Times New Roman"/>
                <w:sz w:val="24"/>
                <w:szCs w:val="24"/>
              </w:rPr>
              <w:t>Without the capability for discovering such information, users and organizations (or programs operating on their behalf) are left to determine how best to establish the credibility and authenticity of a suitable identity, whether for a user, a system resource, information or other entities. Based on this information, it is up to the user or organization to determine whether or not to rely on a given trust framework or other IdM system for such purposes. The core components of the framework set forth in this Recommendation include: 1) a digital entity data model, 2) a digital entity interface protocol, 3) one or more identifier/resolution systems and 4) one or more metadata registries. These components form the basis of the open architecture framework.</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9.1, 12.4, 16.9</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eastAsia="MS Mincho" w:hAnsi="Times New Roman" w:cs="Times New Roman"/>
                <w:sz w:val="24"/>
                <w:szCs w:val="24"/>
              </w:rPr>
            </w:pPr>
            <w:hyperlink r:id="rId889" w:history="1">
              <w:r w:rsidR="00A11163" w:rsidRPr="004567E2">
                <w:rPr>
                  <w:rStyle w:val="Hyperlink"/>
                  <w:rFonts w:ascii="Times New Roman" w:eastAsia="MS Mincho" w:hAnsi="Times New Roman" w:cs="Times New Roman"/>
                  <w:sz w:val="24"/>
                  <w:szCs w:val="24"/>
                </w:rPr>
                <w:t>Recommendation ITU-T X.1256 “Guidelines and framework for sharing network authentication results with service applications”</w:t>
              </w:r>
            </w:hyperlink>
            <w:r w:rsidR="00A11163" w:rsidRPr="004567E2">
              <w:rPr>
                <w:rFonts w:ascii="Times New Roman" w:eastAsia="MS Mincho" w:hAnsi="Times New Roman" w:cs="Times New Roman"/>
                <w:sz w:val="24"/>
                <w:szCs w:val="24"/>
              </w:rPr>
              <w:t xml:space="preserve"> develops guidelines for network operators and service providers to share network authentication results, and provides a framework for sharing minimum attributes across multiple services within an established trust relationship.</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9.1, 16.9</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eastAsia="MS Mincho" w:hAnsi="Times New Roman" w:cs="Times New Roman"/>
                <w:sz w:val="24"/>
                <w:szCs w:val="24"/>
              </w:rPr>
            </w:pPr>
            <w:hyperlink r:id="rId890" w:history="1">
              <w:r w:rsidR="00A11163" w:rsidRPr="004567E2">
                <w:rPr>
                  <w:rStyle w:val="Hyperlink"/>
                  <w:rFonts w:ascii="Times New Roman" w:eastAsia="MS Mincho" w:hAnsi="Times New Roman" w:cs="Times New Roman"/>
                  <w:sz w:val="24"/>
                  <w:szCs w:val="24"/>
                </w:rPr>
                <w:t>Recommendation ITU-T X.1257 “Identity and access management taxonomy”</w:t>
              </w:r>
            </w:hyperlink>
            <w:r w:rsidR="00A11163" w:rsidRPr="004567E2">
              <w:rPr>
                <w:rFonts w:ascii="Times New Roman" w:eastAsia="MS Mincho" w:hAnsi="Times New Roman" w:cs="Times New Roman"/>
                <w:sz w:val="24"/>
                <w:szCs w:val="24"/>
              </w:rPr>
              <w:t xml:space="preserve"> develops a specification to ensure that the necessary business meaning is assigned to identity and access management (IAM) roles and permissions, and that this business meaning is traceable and referenceable throughout the IAM process lifecycle. This means that that permissions can be efficiently assigned to users, separation of duties (SoD) controls can be successfully implemented across applications, and access review and reconciliation processes can be carried out efficiently.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9.1, 16.9</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SG17 results</w:t>
            </w:r>
          </w:p>
        </w:tc>
        <w:tc>
          <w:tcPr>
            <w:tcW w:w="8278" w:type="dxa"/>
          </w:tcPr>
          <w:p w:rsidR="00A11163" w:rsidRPr="004567E2" w:rsidRDefault="007835EF" w:rsidP="00A11163">
            <w:pPr>
              <w:widowControl w:val="0"/>
              <w:rPr>
                <w:rFonts w:ascii="Times New Roman" w:eastAsia="MS Mincho" w:hAnsi="Times New Roman" w:cs="Times New Roman"/>
                <w:sz w:val="24"/>
                <w:szCs w:val="24"/>
              </w:rPr>
            </w:pPr>
            <w:hyperlink r:id="rId891" w:history="1">
              <w:r w:rsidR="00A11163" w:rsidRPr="004567E2">
                <w:rPr>
                  <w:rStyle w:val="Hyperlink"/>
                  <w:rFonts w:ascii="Times New Roman" w:eastAsia="MS Mincho" w:hAnsi="Times New Roman" w:cs="Times New Roman"/>
                  <w:sz w:val="24"/>
                  <w:szCs w:val="24"/>
                </w:rPr>
                <w:t>Recommendation ITU-T X.1258 “Enhanced entity authentication based on aggregated attributes”</w:t>
              </w:r>
            </w:hyperlink>
            <w:r w:rsidR="00A11163" w:rsidRPr="004567E2">
              <w:rPr>
                <w:rFonts w:ascii="Times New Roman" w:eastAsia="MS Mincho" w:hAnsi="Times New Roman" w:cs="Times New Roman"/>
                <w:sz w:val="24"/>
                <w:szCs w:val="24"/>
              </w:rPr>
              <w:t xml:space="preserve"> introduces the concept of attribute aggregation to allow an entity to aggregate attributes from multiple IdSPs. Attribute aggregation is the mechanism for collecting attributes of an entity retrieved from multiple IdSPs. </w:t>
            </w:r>
            <w:r w:rsidR="00A11163" w:rsidRPr="004567E2">
              <w:rPr>
                <w:rFonts w:ascii="Times New Roman" w:eastAsia="MS Mincho" w:hAnsi="Times New Roman" w:cs="Times New Roman"/>
                <w:sz w:val="24"/>
                <w:szCs w:val="24"/>
              </w:rPr>
              <w:lastRenderedPageBreak/>
              <w:t>Attribute aggregation is needed to aggregate the attributes dynamically on demand. IdSP can realize the aggregation request when an entity wants to get a service. Additionally, an entity-centric attribute aggregation mechanism could also be applied to the authentication for mitigating privacy leakage.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9.1, 16.9</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w:t>
            </w:r>
          </w:p>
        </w:tc>
        <w:tc>
          <w:tcPr>
            <w:tcW w:w="756" w:type="dxa"/>
          </w:tcPr>
          <w:p w:rsidR="00A11163" w:rsidRPr="004567E2" w:rsidRDefault="00A11163" w:rsidP="00A11163">
            <w:pPr>
              <w:pStyle w:val="ListParagraph"/>
              <w:numPr>
                <w:ilvl w:val="0"/>
                <w:numId w:val="1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widowControl w:val="0"/>
              <w:rPr>
                <w:rStyle w:val="Hyperlink"/>
                <w:rFonts w:ascii="Times New Roman" w:eastAsia="MS Mincho" w:hAnsi="Times New Roman" w:cs="Times New Roman"/>
                <w:sz w:val="24"/>
                <w:szCs w:val="24"/>
              </w:rPr>
            </w:pPr>
            <w:hyperlink r:id="rId892" w:history="1">
              <w:r w:rsidR="00A11163" w:rsidRPr="004567E2">
                <w:rPr>
                  <w:rStyle w:val="Hyperlink"/>
                  <w:rFonts w:ascii="Times New Roman" w:eastAsia="MS Mincho" w:hAnsi="Times New Roman" w:cs="Times New Roman"/>
                  <w:sz w:val="24"/>
                  <w:szCs w:val="24"/>
                </w:rPr>
                <w:t>Recommendation ITU-T Q.850 “Usage of cause and location in the Digital Subscriber Signalling System No. 1 and the Signalling System No. 7 ISDN user part”</w:t>
              </w:r>
            </w:hyperlink>
            <w:r w:rsidR="00A11163" w:rsidRPr="004567E2">
              <w:rPr>
                <w:rFonts w:ascii="Times New Roman" w:eastAsia="MS Mincho" w:hAnsi="Times New Roman" w:cs="Times New Roman"/>
                <w:sz w:val="24"/>
                <w:szCs w:val="24"/>
              </w:rPr>
              <w:t>defines the format, encoding and semantics of cause information elements/parameters and the usage of the location field, in the Digital Subscriber Signalling System No. 1 and the Signalling System No. 7 ISDN User Part.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T.1-4, T.1-8</w:t>
            </w:r>
          </w:p>
        </w:tc>
        <w:tc>
          <w:tcPr>
            <w:tcW w:w="756" w:type="dxa"/>
          </w:tcPr>
          <w:p w:rsidR="00A11163" w:rsidRPr="004567E2" w:rsidRDefault="00A11163" w:rsidP="00A11163">
            <w:pPr>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SG11 results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sz w:val="24"/>
                <w:szCs w:val="24"/>
              </w:rPr>
            </w:pPr>
            <w:hyperlink r:id="rId893" w:history="1">
              <w:r w:rsidR="00A11163" w:rsidRPr="004567E2">
                <w:rPr>
                  <w:rStyle w:val="Hyperlink"/>
                  <w:rFonts w:ascii="Times New Roman" w:hAnsi="Times New Roman" w:cs="Times New Roman"/>
                  <w:iCs/>
                  <w:sz w:val="24"/>
                  <w:szCs w:val="24"/>
                </w:rPr>
                <w:t>Recommendation ITU-T Q.3952 “The architecture and facilities of a model network for Internet of things testing”</w:t>
              </w:r>
            </w:hyperlink>
            <w:r w:rsidR="00A11163" w:rsidRPr="004567E2">
              <w:rPr>
                <w:rFonts w:ascii="Times New Roman" w:hAnsi="Times New Roman" w:cs="Times New Roman"/>
                <w:b/>
                <w:bCs/>
                <w:iCs/>
                <w:sz w:val="24"/>
                <w:szCs w:val="24"/>
              </w:rPr>
              <w:t xml:space="preserve"> </w:t>
            </w:r>
            <w:r w:rsidR="00A11163" w:rsidRPr="004567E2">
              <w:rPr>
                <w:rFonts w:ascii="Times New Roman" w:hAnsi="Times New Roman" w:cs="Times New Roman"/>
                <w:bCs/>
                <w:iCs/>
                <w:sz w:val="24"/>
                <w:szCs w:val="24"/>
              </w:rPr>
              <w:t>(under approval)</w:t>
            </w:r>
            <w:r w:rsidR="00A11163" w:rsidRPr="004567E2">
              <w:rPr>
                <w:rFonts w:ascii="Times New Roman" w:hAnsi="Times New Roman" w:cs="Times New Roman"/>
                <w:i/>
                <w:iCs/>
                <w:sz w:val="24"/>
                <w:szCs w:val="24"/>
              </w:rPr>
              <w:t xml:space="preserve"> </w:t>
            </w:r>
            <w:r w:rsidR="00A11163" w:rsidRPr="004567E2">
              <w:rPr>
                <w:rFonts w:ascii="Times New Roman" w:hAnsi="Times New Roman" w:cs="Times New Roman"/>
                <w:iCs/>
                <w:sz w:val="24"/>
                <w:szCs w:val="24"/>
              </w:rPr>
              <w:t>describes the architecture and facilities of Model Network for IoT testing.</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T.1-5</w:t>
            </w:r>
          </w:p>
        </w:tc>
        <w:tc>
          <w:tcPr>
            <w:tcW w:w="756" w:type="dxa"/>
          </w:tcPr>
          <w:p w:rsidR="00A11163" w:rsidRPr="004567E2" w:rsidRDefault="00A11163" w:rsidP="00A11163">
            <w:pPr>
              <w:pStyle w:val="ListParagraph"/>
              <w:numPr>
                <w:ilvl w:val="0"/>
                <w:numId w:val="18"/>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SSC</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r w:rsidRPr="004567E2">
              <w:rPr>
                <w:rFonts w:ascii="Times New Roman" w:hAnsi="Times New Roman" w:cs="Times New Roman"/>
                <w:sz w:val="24"/>
                <w:szCs w:val="24"/>
              </w:rPr>
              <w:t>ITU is involved in several smart city pilot projects (with cities including Wuxi, Manizales, Dubai, Singapore, Santiago de Chile, Montevideo, and Rimini) to measure the smartness and sustainability of the participating city. The pilot projects are also expected to generate inputs for the refinement of these KPIs and subsequent approval within ITU-T SG20 on IoT and Smart Cities and Communities.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C7, C2,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9.1, 11.2,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T.1-5</w:t>
            </w:r>
          </w:p>
        </w:tc>
        <w:tc>
          <w:tcPr>
            <w:tcW w:w="756" w:type="dxa"/>
          </w:tcPr>
          <w:p w:rsidR="00A11163" w:rsidRPr="004567E2" w:rsidRDefault="00A11163" w:rsidP="00A11163">
            <w:pPr>
              <w:pStyle w:val="ListParagraph"/>
              <w:numPr>
                <w:ilvl w:val="0"/>
                <w:numId w:val="18"/>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TSB</w:t>
            </w:r>
          </w:p>
        </w:tc>
        <w:tc>
          <w:tcPr>
            <w:tcW w:w="8278" w:type="dxa"/>
          </w:tcPr>
          <w:p w:rsidR="00A11163" w:rsidRPr="004567E2" w:rsidRDefault="00A11163" w:rsidP="00A11163">
            <w:pPr>
              <w:rPr>
                <w:rStyle w:val="Hyperlink"/>
                <w:rFonts w:ascii="Times New Roman" w:hAnsi="Times New Roman" w:cs="Times New Roman"/>
                <w:sz w:val="24"/>
                <w:szCs w:val="24"/>
              </w:rPr>
            </w:pPr>
            <w:r w:rsidRPr="004567E2">
              <w:rPr>
                <w:rFonts w:ascii="Times New Roman" w:hAnsi="Times New Roman" w:cs="Times New Roman"/>
                <w:sz w:val="24"/>
                <w:szCs w:val="24"/>
              </w:rPr>
              <w:t>TSB represents ITU in the Step Initiative and participate in its meetings. TSB has been actively contributing to the Step publications and project plans.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9.1, 12.4,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T.1-5</w:t>
            </w:r>
          </w:p>
        </w:tc>
        <w:tc>
          <w:tcPr>
            <w:tcW w:w="756" w:type="dxa"/>
          </w:tcPr>
          <w:p w:rsidR="00A11163" w:rsidRPr="004567E2" w:rsidRDefault="00A11163" w:rsidP="00A11163">
            <w:pPr>
              <w:pStyle w:val="ListParagraph"/>
              <w:numPr>
                <w:ilvl w:val="0"/>
                <w:numId w:val="18"/>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TSB</w:t>
            </w:r>
          </w:p>
        </w:tc>
        <w:tc>
          <w:tcPr>
            <w:tcW w:w="8278" w:type="dxa"/>
          </w:tcPr>
          <w:p w:rsidR="00A11163" w:rsidRPr="004567E2" w:rsidRDefault="00A11163" w:rsidP="00A11163">
            <w:pPr>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TSB represents ITU in the PACE Initiative and participate in its meetings and contributes to its publications.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9.1, 12.4</w:t>
            </w:r>
          </w:p>
        </w:tc>
      </w:tr>
      <w:tr w:rsidR="00A11163" w:rsidRPr="004567E2" w:rsidTr="00A11163">
        <w:tc>
          <w:tcPr>
            <w:tcW w:w="760"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T.1-5</w:t>
            </w:r>
          </w:p>
        </w:tc>
        <w:tc>
          <w:tcPr>
            <w:tcW w:w="756" w:type="dxa"/>
          </w:tcPr>
          <w:p w:rsidR="00A11163" w:rsidRPr="004567E2" w:rsidRDefault="00A11163" w:rsidP="00A11163">
            <w:pPr>
              <w:pStyle w:val="ListParagraph"/>
              <w:numPr>
                <w:ilvl w:val="0"/>
                <w:numId w:val="18"/>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TSB</w:t>
            </w:r>
          </w:p>
        </w:tc>
        <w:tc>
          <w:tcPr>
            <w:tcW w:w="8278" w:type="dxa"/>
          </w:tcPr>
          <w:p w:rsidR="00A11163" w:rsidRPr="004567E2" w:rsidRDefault="00A11163" w:rsidP="00A11163">
            <w:pPr>
              <w:rPr>
                <w:rStyle w:val="Hyperlink"/>
                <w:rFonts w:ascii="Times New Roman" w:hAnsi="Times New Roman" w:cs="Times New Roman"/>
                <w:sz w:val="24"/>
                <w:szCs w:val="24"/>
              </w:rPr>
            </w:pPr>
            <w:r w:rsidRPr="004567E2">
              <w:rPr>
                <w:rFonts w:ascii="Times New Roman" w:hAnsi="Times New Roman" w:cs="Times New Roman"/>
                <w:sz w:val="24"/>
                <w:szCs w:val="24"/>
              </w:rPr>
              <w:t>TSB represents ITU in Global Partnership on Waste Management (GPWM) and chairs the working on e-waste.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9.1, 12.4, </w:t>
            </w:r>
            <w:r w:rsidRPr="004567E2">
              <w:rPr>
                <w:rFonts w:ascii="Times New Roman" w:hAnsi="Times New Roman" w:cs="Times New Roman"/>
                <w:sz w:val="24"/>
                <w:szCs w:val="24"/>
              </w:rPr>
              <w:t xml:space="preserve">17.6, </w:t>
            </w:r>
            <w:r w:rsidRPr="004567E2">
              <w:rPr>
                <w:rFonts w:ascii="Times New Roman" w:hAnsi="Times New Roman" w:cs="Times New Roman"/>
                <w:sz w:val="24"/>
                <w:szCs w:val="24"/>
              </w:rPr>
              <w:lastRenderedPageBreak/>
              <w:t>17.16, 17.17</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T.1-5</w:t>
            </w:r>
          </w:p>
        </w:tc>
        <w:tc>
          <w:tcPr>
            <w:tcW w:w="756" w:type="dxa"/>
          </w:tcPr>
          <w:p w:rsidR="00A11163" w:rsidRPr="004567E2" w:rsidRDefault="00A11163" w:rsidP="00A11163">
            <w:pPr>
              <w:pStyle w:val="Default"/>
              <w:numPr>
                <w:ilvl w:val="0"/>
                <w:numId w:val="18"/>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SDO collaboration</w:t>
            </w:r>
          </w:p>
        </w:tc>
        <w:tc>
          <w:tcPr>
            <w:tcW w:w="8278" w:type="dxa"/>
          </w:tcPr>
          <w:p w:rsidR="00A11163" w:rsidRPr="004567E2" w:rsidRDefault="00A11163" w:rsidP="00A11163">
            <w:pPr>
              <w:rPr>
                <w:rFonts w:ascii="Times New Roman" w:hAnsi="Times New Roman" w:cs="Times New Roman"/>
                <w:bCs/>
                <w:i/>
                <w:iCs/>
                <w:color w:val="000000"/>
                <w:sz w:val="24"/>
                <w:szCs w:val="24"/>
              </w:rPr>
            </w:pPr>
            <w:r w:rsidRPr="004567E2">
              <w:rPr>
                <w:rFonts w:ascii="Times New Roman" w:hAnsi="Times New Roman" w:cs="Times New Roman"/>
                <w:bCs/>
                <w:iCs/>
                <w:sz w:val="24"/>
                <w:szCs w:val="24"/>
              </w:rPr>
              <w:t>ITU-T continues its longstanding collaboration with bodies active in the healthcare field, such as the World Health Organization (WHO), the Personal Connected Health Alliance (formerly Continua Health Alliance), the Institute of Electrical and Electronics Engineers (IEEE), the International Organization for Standardization (ISO), the European Committee for Standardization (CEN), Health Level Seven International (HL7), Joint Initiative Council (JIC), Digital Imaging and Communications in Medicine (DICOM), European Telecommunications Standards Institute (ETSI), GSMA, and the World Wide Web Consortium (W3C).</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C6, C7, C11</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9.1, 17.6, 17.16, 17.17</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T.1-5</w:t>
            </w:r>
          </w:p>
        </w:tc>
        <w:tc>
          <w:tcPr>
            <w:tcW w:w="756" w:type="dxa"/>
          </w:tcPr>
          <w:p w:rsidR="00A11163" w:rsidRPr="004567E2" w:rsidRDefault="00A11163" w:rsidP="00A11163">
            <w:pPr>
              <w:pStyle w:val="Default"/>
              <w:numPr>
                <w:ilvl w:val="0"/>
                <w:numId w:val="18"/>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partnerships</w:t>
            </w:r>
          </w:p>
        </w:tc>
        <w:tc>
          <w:tcPr>
            <w:tcW w:w="8278" w:type="dxa"/>
          </w:tcPr>
          <w:p w:rsidR="00A11163" w:rsidRPr="004567E2" w:rsidRDefault="00A11163" w:rsidP="00A11163">
            <w:pPr>
              <w:rPr>
                <w:rFonts w:ascii="Times New Roman" w:hAnsi="Times New Roman" w:cs="Times New Roman"/>
                <w:bCs/>
                <w:iCs/>
                <w:sz w:val="24"/>
                <w:szCs w:val="24"/>
              </w:rPr>
            </w:pPr>
            <w:r w:rsidRPr="004567E2">
              <w:rPr>
                <w:rStyle w:val="A0"/>
                <w:rFonts w:ascii="Times New Roman" w:hAnsi="Times New Roman" w:cs="Times New Roman"/>
                <w:sz w:val="24"/>
                <w:szCs w:val="24"/>
              </w:rPr>
              <w:t>ITU-T has strengthened its cooperation with other bodies active in tackling environmental issues, including ETSI, IEEE, WHO, the World Meteorological Organization (WMO), UNECE, the UN Educational, Scientific and Cultural Organization (UNESCO), the Intergovernmental Oceanographic Commission of UNESCO (UNESCO-IOC), United Nations University, UNIDO, the UN Environment Programme (UNEP), the Economic Commission for Latin America and the Caribbean (ECLAC), the UN Framework Convention on Climate Change (UNFCCC), the Inter-American Telecommunication Commission (CITEL), the World Intellectual Property Organization (WIPO), the Basel Convention, the UN Development Programme (UNDP), UN-Habitat, the Comisión Tecnica Regional de Telecomunicaciones (Comtelca), the Global e-Sustainability Initiative (GeSI), Solving the e-Waste Problem (Step), and the Asociación Interamericana de Empresas de Telecomunicaciones (ASIET).</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 C11</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9.1, 17.6, 17.16, 17.17</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T.1-5</w:t>
            </w:r>
          </w:p>
        </w:tc>
        <w:tc>
          <w:tcPr>
            <w:tcW w:w="756" w:type="dxa"/>
          </w:tcPr>
          <w:p w:rsidR="00A11163" w:rsidRPr="004567E2" w:rsidRDefault="00A11163" w:rsidP="00A11163">
            <w:pPr>
              <w:pStyle w:val="Default"/>
              <w:numPr>
                <w:ilvl w:val="0"/>
                <w:numId w:val="18"/>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partnerships</w:t>
            </w:r>
          </w:p>
        </w:tc>
        <w:tc>
          <w:tcPr>
            <w:tcW w:w="8278" w:type="dxa"/>
          </w:tcPr>
          <w:p w:rsidR="00A11163" w:rsidRPr="004567E2" w:rsidRDefault="00A11163" w:rsidP="00A11163">
            <w:pPr>
              <w:widowControl w:val="0"/>
              <w:rPr>
                <w:rFonts w:ascii="Times New Roman" w:hAnsi="Times New Roman" w:cs="Times New Roman"/>
                <w:bCs/>
                <w:iCs/>
                <w:sz w:val="24"/>
                <w:szCs w:val="24"/>
              </w:rPr>
            </w:pPr>
            <w:r w:rsidRPr="004567E2">
              <w:rPr>
                <w:rFonts w:ascii="Times New Roman" w:hAnsi="Times New Roman" w:cs="Times New Roman"/>
                <w:bCs/>
                <w:iCs/>
                <w:sz w:val="24"/>
                <w:szCs w:val="24"/>
              </w:rPr>
              <w:t>The Association for Information Systems (AIS) is a non-profit professional association for individuals and organizations who lead the research, teaching, practice, and study of information systems worldwide. Both parties will cooperate on technical challenges of ICT ecosystems and infrastructures that would bring greater certainty, confidence, and predictability to interactions within the Information Society.</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 C11</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9.1, 17.6, 17.16, 17.17</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T.1-5</w:t>
            </w:r>
          </w:p>
        </w:tc>
        <w:tc>
          <w:tcPr>
            <w:tcW w:w="756" w:type="dxa"/>
          </w:tcPr>
          <w:p w:rsidR="00A11163" w:rsidRPr="004567E2" w:rsidRDefault="00A11163" w:rsidP="00A11163">
            <w:pPr>
              <w:pStyle w:val="Default"/>
              <w:numPr>
                <w:ilvl w:val="0"/>
                <w:numId w:val="18"/>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partnerships</w:t>
            </w:r>
          </w:p>
        </w:tc>
        <w:tc>
          <w:tcPr>
            <w:tcW w:w="8278" w:type="dxa"/>
          </w:tcPr>
          <w:p w:rsidR="00A11163" w:rsidRPr="004567E2" w:rsidRDefault="00A11163" w:rsidP="00A11163">
            <w:pPr>
              <w:widowControl w:val="0"/>
              <w:rPr>
                <w:rFonts w:ascii="Times New Roman" w:hAnsi="Times New Roman" w:cs="Times New Roman"/>
                <w:bCs/>
                <w:iCs/>
                <w:sz w:val="24"/>
                <w:szCs w:val="24"/>
              </w:rPr>
            </w:pPr>
            <w:r w:rsidRPr="004567E2">
              <w:rPr>
                <w:rFonts w:ascii="Times New Roman" w:hAnsi="Times New Roman" w:cs="Times New Roman"/>
                <w:bCs/>
                <w:iCs/>
                <w:sz w:val="24"/>
                <w:szCs w:val="24"/>
              </w:rPr>
              <w:t>Georgia Tech Applied Research Corporation (GTARC) is a non-profit supporting organization of the Georgia Tech Research Institute (Georgia Institute of Technology is an ITU academia member). Both parties will raise awareness for IoT standardization. Read the press release here.</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 C11</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9.1, 17.6, 17.16, 17.17</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T.1-5</w:t>
            </w:r>
          </w:p>
        </w:tc>
        <w:tc>
          <w:tcPr>
            <w:tcW w:w="756" w:type="dxa"/>
          </w:tcPr>
          <w:p w:rsidR="00A11163" w:rsidRPr="004567E2" w:rsidRDefault="00A11163" w:rsidP="00A11163">
            <w:pPr>
              <w:pStyle w:val="Default"/>
              <w:numPr>
                <w:ilvl w:val="0"/>
                <w:numId w:val="18"/>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partnerships</w:t>
            </w:r>
          </w:p>
        </w:tc>
        <w:tc>
          <w:tcPr>
            <w:tcW w:w="8278" w:type="dxa"/>
          </w:tcPr>
          <w:p w:rsidR="00A11163" w:rsidRPr="004567E2" w:rsidRDefault="00A11163" w:rsidP="00A11163">
            <w:pPr>
              <w:widowControl w:val="0"/>
              <w:rPr>
                <w:rFonts w:ascii="Times New Roman" w:hAnsi="Times New Roman" w:cs="Times New Roman"/>
                <w:bCs/>
                <w:iCs/>
                <w:sz w:val="24"/>
                <w:szCs w:val="24"/>
              </w:rPr>
            </w:pPr>
            <w:r w:rsidRPr="004567E2">
              <w:rPr>
                <w:rFonts w:ascii="Times New Roman" w:hAnsi="Times New Roman" w:cs="Times New Roman"/>
                <w:bCs/>
                <w:iCs/>
                <w:sz w:val="24"/>
                <w:szCs w:val="24"/>
              </w:rPr>
              <w:t>ITU has signed a cooperation agreement with IBM Watson AI XPRIZE, a USD 5 million competition that aims to accelerate the development of scalable Artificial Intelligence (AI) solutions to address humanity’s grandest challenges. Read an ITU blog piece on the agreement here. ITU will draw on its global network of ICT experts to propose judges to join the XPRIZE scientific advisory board, in addition assisting in the proposition of datasets, test environments and other resources to aid the research of XPRIZE entrants. ITU also plans to offer mentors and other technical experts to assist entrants in improving their applications and showcasing their work, and this offer of assistance will also extend to the provision of an ecosystem of technical tools and resources.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 C11</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9.1, 17.6, 17.16, 17.17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T.1-5</w:t>
            </w:r>
          </w:p>
        </w:tc>
        <w:tc>
          <w:tcPr>
            <w:tcW w:w="756" w:type="dxa"/>
          </w:tcPr>
          <w:p w:rsidR="00A11163" w:rsidRPr="004567E2" w:rsidRDefault="00A11163" w:rsidP="00A11163">
            <w:pPr>
              <w:pStyle w:val="ListParagraph"/>
              <w:numPr>
                <w:ilvl w:val="0"/>
                <w:numId w:val="18"/>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FIGI</w:t>
            </w:r>
          </w:p>
        </w:tc>
        <w:tc>
          <w:tcPr>
            <w:tcW w:w="8278"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 xml:space="preserve">Financial Inclusion Global Initiative (FIGI) is a three-year programme of collective action led by ITU, the World Bank Group and the Committee on Payments and Market Infrastructures, with support from the Bill &amp; Melinda Gates Foundation. The initiative is designed to advance research in digital finance and accelerate digital financial inclusion in developing countries. </w:t>
            </w:r>
          </w:p>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sz w:val="24"/>
                <w:szCs w:val="24"/>
              </w:rPr>
              <w:t>FIGI aims at accelerating progress towards universal access to financial services with the purpose to implement the recommendations of the Focus Group Digital Financial Services, the Payment Aspects of Financial Inclusion report of the World Bank and CPMI and the Level One Project of the Gates Foundation.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8.10, 9.1, 17.9,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T.1-5</w:t>
            </w:r>
          </w:p>
        </w:tc>
        <w:tc>
          <w:tcPr>
            <w:tcW w:w="756" w:type="dxa"/>
          </w:tcPr>
          <w:p w:rsidR="00A11163" w:rsidRPr="004567E2" w:rsidRDefault="00A11163" w:rsidP="00A11163">
            <w:pPr>
              <w:pStyle w:val="ListParagraph"/>
              <w:numPr>
                <w:ilvl w:val="0"/>
                <w:numId w:val="18"/>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results</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r w:rsidRPr="004567E2">
              <w:rPr>
                <w:rFonts w:ascii="Times New Roman" w:hAnsi="Times New Roman" w:cs="Times New Roman"/>
                <w:sz w:val="24"/>
                <w:szCs w:val="24"/>
              </w:rPr>
              <w:t>ITU-T is a strong advocate of “Universal Design” and has developed standardization guidelines to produce solutions that are inherently accessible to persons with and without disabilities.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C10</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9.1, 10.2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T.1-5</w:t>
            </w:r>
          </w:p>
        </w:tc>
        <w:tc>
          <w:tcPr>
            <w:tcW w:w="756" w:type="dxa"/>
          </w:tcPr>
          <w:p w:rsidR="00A11163" w:rsidRPr="004567E2" w:rsidRDefault="00A11163" w:rsidP="00A11163">
            <w:pPr>
              <w:pStyle w:val="ListParagraph"/>
              <w:numPr>
                <w:ilvl w:val="0"/>
                <w:numId w:val="18"/>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mentoring</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r w:rsidRPr="004567E2">
              <w:rPr>
                <w:rFonts w:ascii="Times New Roman" w:hAnsi="Times New Roman" w:cs="Times New Roman"/>
                <w:sz w:val="24"/>
                <w:szCs w:val="24"/>
              </w:rPr>
              <w:t>ITU-T mentoring programme for new delegates. Remote participation is offered at no cost.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 C10</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10.2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T.1-5</w:t>
            </w:r>
          </w:p>
        </w:tc>
        <w:tc>
          <w:tcPr>
            <w:tcW w:w="756" w:type="dxa"/>
          </w:tcPr>
          <w:p w:rsidR="00A11163" w:rsidRPr="004567E2" w:rsidRDefault="00A11163" w:rsidP="00A11163">
            <w:pPr>
              <w:pStyle w:val="ListParagraph"/>
              <w:numPr>
                <w:ilvl w:val="0"/>
                <w:numId w:val="18"/>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WSC</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bCs/>
                <w:iCs/>
                <w:sz w:val="24"/>
                <w:szCs w:val="24"/>
              </w:rPr>
            </w:pPr>
            <w:r w:rsidRPr="004567E2">
              <w:rPr>
                <w:rFonts w:ascii="Times New Roman" w:hAnsi="Times New Roman" w:cs="Times New Roman"/>
                <w:color w:val="000000"/>
                <w:sz w:val="24"/>
                <w:szCs w:val="24"/>
              </w:rPr>
              <w:t>ITU continues to provide leadership in building cooperation</w:t>
            </w:r>
            <w:r w:rsidRPr="004567E2">
              <w:rPr>
                <w:rFonts w:ascii="Times New Roman" w:hAnsi="Times New Roman" w:cs="Times New Roman"/>
                <w:b/>
                <w:bCs/>
                <w:color w:val="000000"/>
                <w:sz w:val="24"/>
                <w:szCs w:val="24"/>
              </w:rPr>
              <w:t xml:space="preserve"> </w:t>
            </w:r>
            <w:r w:rsidRPr="004567E2">
              <w:rPr>
                <w:rFonts w:ascii="Times New Roman" w:hAnsi="Times New Roman" w:cs="Times New Roman"/>
                <w:color w:val="000000"/>
                <w:sz w:val="24"/>
                <w:szCs w:val="24"/>
              </w:rPr>
              <w:t>among the many interests served by ICT standardization. The World Standards Cooperation (WSC) is a partnership of ITU, ISO, and IEC to promote international standards.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9.1, 17.6</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T.1-5</w:t>
            </w:r>
          </w:p>
        </w:tc>
        <w:tc>
          <w:tcPr>
            <w:tcW w:w="756" w:type="dxa"/>
          </w:tcPr>
          <w:p w:rsidR="00A11163" w:rsidRPr="004567E2" w:rsidRDefault="00A11163" w:rsidP="00A11163">
            <w:pPr>
              <w:pStyle w:val="ListParagraph"/>
              <w:numPr>
                <w:ilvl w:val="0"/>
                <w:numId w:val="18"/>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GSC</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color w:val="000000"/>
                <w:sz w:val="24"/>
                <w:szCs w:val="24"/>
              </w:rPr>
            </w:pPr>
            <w:r w:rsidRPr="004567E2">
              <w:rPr>
                <w:rFonts w:ascii="Times New Roman" w:hAnsi="Times New Roman" w:cs="Times New Roman"/>
                <w:bCs/>
                <w:iCs/>
                <w:sz w:val="24"/>
                <w:szCs w:val="24"/>
              </w:rPr>
              <w:t>ITU-T continues to engage in many collaborative standardization efforts with other SDOs such as the Global Standards Collaboration (GSC). GSC-20 welcomed ISO and IEC as new GSC members. ITU hosts the repository of GSC-documents from past meetings.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9.1, 17.6</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T.1-5</w:t>
            </w:r>
          </w:p>
        </w:tc>
        <w:tc>
          <w:tcPr>
            <w:tcW w:w="756" w:type="dxa"/>
          </w:tcPr>
          <w:p w:rsidR="00A11163" w:rsidRPr="004567E2" w:rsidRDefault="00A11163" w:rsidP="00A11163">
            <w:pPr>
              <w:pStyle w:val="ListParagraph"/>
              <w:numPr>
                <w:ilvl w:val="0"/>
                <w:numId w:val="18"/>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ETSI MoU</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bCs/>
                <w:iCs/>
                <w:sz w:val="24"/>
                <w:szCs w:val="24"/>
              </w:rPr>
            </w:pPr>
            <w:r w:rsidRPr="004567E2">
              <w:rPr>
                <w:rFonts w:ascii="Times New Roman" w:hAnsi="Times New Roman" w:cs="Times New Roman"/>
                <w:bCs/>
                <w:iCs/>
                <w:sz w:val="24"/>
                <w:szCs w:val="24"/>
              </w:rPr>
              <w:t>The ITU-ETSI MoU was reaffirmed in 2016. ETSI and ITU continue to enjoy successful collaboration in particular in the fields of green ICT standards. Topics of shared interest in this arena include, for example, ICT energy efficiency and methodologies to assess the environmental impacts. Standardization for C&amp;I testing is another area supported by strong ETSI-ITU collaboration, with collaborative projects including SIP-IMS conformity testing; Internet-related performance measurement; and a framework for the interconnection of VoLTE/ViLTE-based networks.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9.1, 17.6</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T.1-5</w:t>
            </w:r>
          </w:p>
        </w:tc>
        <w:tc>
          <w:tcPr>
            <w:tcW w:w="756" w:type="dxa"/>
          </w:tcPr>
          <w:p w:rsidR="00A11163" w:rsidRPr="004567E2" w:rsidRDefault="00A11163" w:rsidP="00A11163">
            <w:pPr>
              <w:pStyle w:val="ListParagraph"/>
              <w:numPr>
                <w:ilvl w:val="0"/>
                <w:numId w:val="18"/>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U4SSC</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r w:rsidRPr="004567E2">
              <w:rPr>
                <w:rFonts w:ascii="Times New Roman" w:hAnsi="Times New Roman" w:cs="Times New Roman"/>
                <w:sz w:val="24"/>
                <w:szCs w:val="24"/>
              </w:rPr>
              <w:t>The United for Smart Sustainable Cities (U4SSC) is a United Nations initiative coordinated by ITU and UNECE and supported by 14 UN Agencies and Programmes namely: CBD, ECLAC, FAO, UNDP, UNECA, UNESCO, UN Environment, UNEP-FI, UNFCCC, UN-Habitat, UNIDO, UN-Women, UNI-EGOV and WMO. The U4SSC advocates for public policies aimed at ensuring a catalytic role for information and communication technologies (ICTs) in enabling the transition to smart sustainable cities.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C7, 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9.1, 11.2, 17.6, </w:t>
            </w:r>
            <w:r w:rsidRPr="004567E2">
              <w:rPr>
                <w:rFonts w:ascii="Times New Roman" w:hAnsi="Times New Roman" w:cs="Times New Roman"/>
                <w:sz w:val="24"/>
                <w:szCs w:val="24"/>
              </w:rPr>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T.1-5</w:t>
            </w:r>
          </w:p>
        </w:tc>
        <w:tc>
          <w:tcPr>
            <w:tcW w:w="756" w:type="dxa"/>
          </w:tcPr>
          <w:p w:rsidR="00A11163" w:rsidRPr="004567E2" w:rsidRDefault="00A11163" w:rsidP="00A11163">
            <w:pPr>
              <w:pStyle w:val="ListParagraph"/>
              <w:numPr>
                <w:ilvl w:val="0"/>
                <w:numId w:val="18"/>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SSC</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r w:rsidRPr="004567E2">
              <w:rPr>
                <w:rFonts w:ascii="Times New Roman" w:hAnsi="Times New Roman" w:cs="Times New Roman"/>
                <w:sz w:val="24"/>
                <w:szCs w:val="24"/>
              </w:rPr>
              <w:t xml:space="preserve">In December 2016, ITU published the case study </w:t>
            </w:r>
            <w:hyperlink r:id="rId894" w:anchor="p=1" w:history="1">
              <w:r w:rsidRPr="004567E2">
                <w:rPr>
                  <w:rStyle w:val="Hyperlink"/>
                  <w:rFonts w:ascii="Times New Roman" w:hAnsi="Times New Roman" w:cs="Times New Roman"/>
                  <w:sz w:val="24"/>
                  <w:szCs w:val="24"/>
                  <w:lang w:val="en-GB"/>
                </w:rPr>
                <w:t>“Implementing ITU-T International Standards to Shape Smart Sustainable Cities: The Case of Dubai</w:t>
              </w:r>
            </w:hyperlink>
            <w:r w:rsidRPr="004567E2">
              <w:rPr>
                <w:rFonts w:ascii="Times New Roman" w:hAnsi="Times New Roman" w:cs="Times New Roman"/>
                <w:sz w:val="24"/>
                <w:szCs w:val="24"/>
              </w:rPr>
              <w:t>”. This case study details Dubai’s ambitious and trailblazing journey towards becoming a smart city, a venture worthy of emulation by other aspiring smart cities around the world.</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C7, C2, C4</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T.1-5</w:t>
            </w:r>
          </w:p>
        </w:tc>
        <w:tc>
          <w:tcPr>
            <w:tcW w:w="756" w:type="dxa"/>
          </w:tcPr>
          <w:p w:rsidR="00A11163" w:rsidRPr="004567E2" w:rsidRDefault="00A11163" w:rsidP="00A11163">
            <w:pPr>
              <w:pStyle w:val="ListParagraph"/>
              <w:numPr>
                <w:ilvl w:val="0"/>
                <w:numId w:val="18"/>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SSC results</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r w:rsidRPr="004567E2">
              <w:rPr>
                <w:rFonts w:ascii="Times New Roman" w:hAnsi="Times New Roman" w:cs="Times New Roman"/>
                <w:sz w:val="24"/>
                <w:szCs w:val="24"/>
              </w:rPr>
              <w:t>The U4SSC has developed the following deliverables:</w:t>
            </w:r>
          </w:p>
          <w:p w:rsidR="00A11163" w:rsidRPr="004567E2" w:rsidRDefault="00A11163" w:rsidP="00A11163">
            <w:pPr>
              <w:pStyle w:val="normalWSIS"/>
              <w:numPr>
                <w:ilvl w:val="0"/>
                <w:numId w:val="31"/>
              </w:numPr>
              <w:spacing w:before="0" w:after="0"/>
              <w:jc w:val="left"/>
              <w:rPr>
                <w:rFonts w:ascii="Times New Roman" w:hAnsi="Times New Roman" w:cs="Times New Roman"/>
                <w:sz w:val="24"/>
                <w:szCs w:val="24"/>
              </w:rPr>
            </w:pPr>
            <w:r w:rsidRPr="004567E2">
              <w:rPr>
                <w:rFonts w:ascii="Times New Roman" w:hAnsi="Times New Roman" w:cs="Times New Roman"/>
                <w:sz w:val="24"/>
                <w:szCs w:val="24"/>
              </w:rPr>
              <w:t>Flipbook on "</w:t>
            </w:r>
            <w:hyperlink r:id="rId895" w:history="1">
              <w:r w:rsidRPr="004567E2">
                <w:rPr>
                  <w:rStyle w:val="Hyperlink"/>
                  <w:rFonts w:ascii="Times New Roman" w:hAnsi="Times New Roman" w:cs="Times New Roman"/>
                  <w:sz w:val="24"/>
                  <w:szCs w:val="24"/>
                </w:rPr>
                <w:t>Connecting cities and communities with the SDGs</w:t>
              </w:r>
            </w:hyperlink>
            <w:r w:rsidRPr="004567E2">
              <w:rPr>
                <w:rFonts w:ascii="Times New Roman" w:hAnsi="Times New Roman" w:cs="Times New Roman"/>
                <w:sz w:val="24"/>
                <w:szCs w:val="24"/>
              </w:rPr>
              <w:t>"</w:t>
            </w:r>
          </w:p>
          <w:p w:rsidR="00A11163" w:rsidRPr="004567E2" w:rsidRDefault="00A11163" w:rsidP="00A11163">
            <w:pPr>
              <w:pStyle w:val="normalWSIS"/>
              <w:numPr>
                <w:ilvl w:val="0"/>
                <w:numId w:val="31"/>
              </w:numPr>
              <w:spacing w:before="0" w:after="0"/>
              <w:jc w:val="left"/>
              <w:rPr>
                <w:rFonts w:ascii="Times New Roman" w:hAnsi="Times New Roman" w:cs="Times New Roman"/>
                <w:sz w:val="24"/>
                <w:szCs w:val="24"/>
              </w:rPr>
            </w:pPr>
            <w:r w:rsidRPr="004567E2">
              <w:rPr>
                <w:rFonts w:ascii="Times New Roman" w:hAnsi="Times New Roman" w:cs="Times New Roman"/>
                <w:sz w:val="24"/>
                <w:szCs w:val="24"/>
              </w:rPr>
              <w:t>Flipbook on "</w:t>
            </w:r>
            <w:hyperlink r:id="rId896" w:history="1">
              <w:r w:rsidRPr="004567E2">
                <w:rPr>
                  <w:rStyle w:val="Hyperlink"/>
                  <w:rFonts w:ascii="Times New Roman" w:hAnsi="Times New Roman" w:cs="Times New Roman"/>
                  <w:sz w:val="24"/>
                  <w:szCs w:val="24"/>
                </w:rPr>
                <w:t>Enhancing innovation and participation in smart sustainable cities</w:t>
              </w:r>
            </w:hyperlink>
            <w:r w:rsidRPr="004567E2">
              <w:rPr>
                <w:rFonts w:ascii="Times New Roman" w:hAnsi="Times New Roman" w:cs="Times New Roman"/>
                <w:sz w:val="24"/>
                <w:szCs w:val="24"/>
              </w:rPr>
              <w:t>"</w:t>
            </w:r>
          </w:p>
          <w:p w:rsidR="00A11163" w:rsidRPr="004567E2" w:rsidRDefault="00A11163" w:rsidP="00A11163">
            <w:pPr>
              <w:pStyle w:val="normalWSIS"/>
              <w:numPr>
                <w:ilvl w:val="0"/>
                <w:numId w:val="31"/>
              </w:numPr>
              <w:spacing w:before="0" w:after="0"/>
              <w:jc w:val="left"/>
              <w:rPr>
                <w:rFonts w:ascii="Times New Roman" w:hAnsi="Times New Roman" w:cs="Times New Roman"/>
                <w:sz w:val="24"/>
                <w:szCs w:val="24"/>
              </w:rPr>
            </w:pPr>
            <w:r w:rsidRPr="004567E2">
              <w:rPr>
                <w:rFonts w:ascii="Times New Roman" w:hAnsi="Times New Roman" w:cs="Times New Roman"/>
                <w:sz w:val="24"/>
                <w:szCs w:val="24"/>
              </w:rPr>
              <w:t>Flipbook on "</w:t>
            </w:r>
            <w:hyperlink r:id="rId897" w:history="1">
              <w:r w:rsidRPr="004567E2">
                <w:rPr>
                  <w:rStyle w:val="Hyperlink"/>
                  <w:rFonts w:ascii="Times New Roman" w:hAnsi="Times New Roman" w:cs="Times New Roman"/>
                  <w:sz w:val="24"/>
                  <w:szCs w:val="24"/>
                </w:rPr>
                <w:t>Implementing SDG11 by connecting sustainability policies and urban planning practices through ICTs</w:t>
              </w:r>
            </w:hyperlink>
            <w:r w:rsidRPr="004567E2">
              <w:rPr>
                <w:rFonts w:ascii="Times New Roman" w:hAnsi="Times New Roman" w:cs="Times New Roman"/>
                <w:sz w:val="24"/>
                <w:szCs w:val="24"/>
              </w:rPr>
              <w:t>".</w:t>
            </w:r>
          </w:p>
          <w:p w:rsidR="00A11163" w:rsidRPr="004567E2" w:rsidRDefault="00A11163" w:rsidP="00A11163">
            <w:pPr>
              <w:rPr>
                <w:rFonts w:ascii="Times New Roman" w:hAnsi="Times New Roman"/>
                <w:sz w:val="24"/>
                <w:szCs w:val="24"/>
                <w:lang w:val="en-CA"/>
              </w:rPr>
            </w:pPr>
            <w:r w:rsidRPr="004567E2">
              <w:rPr>
                <w:rFonts w:ascii="Times New Roman" w:hAnsi="Times New Roman" w:cs="Times New Roman"/>
                <w:sz w:val="24"/>
                <w:szCs w:val="24"/>
              </w:rPr>
              <w:t xml:space="preserve">See also: </w:t>
            </w:r>
            <w:hyperlink r:id="rId898" w:history="1">
              <w:r w:rsidRPr="004567E2">
                <w:rPr>
                  <w:rStyle w:val="Hyperlink"/>
                  <w:rFonts w:ascii="Times New Roman" w:hAnsi="Times New Roman"/>
                  <w:sz w:val="24"/>
                  <w:szCs w:val="24"/>
                  <w:lang w:val="en-CA"/>
                </w:rPr>
                <w:t>The Key Performance Indicators for Smart Sustainable Cities</w:t>
              </w:r>
            </w:hyperlink>
            <w:r w:rsidRPr="004567E2">
              <w:rPr>
                <w:rFonts w:ascii="Times New Roman" w:hAnsi="Times New Roman"/>
                <w:sz w:val="24"/>
                <w:szCs w:val="24"/>
                <w:lang w:val="en-CA"/>
              </w:rPr>
              <w:t>.</w:t>
            </w:r>
          </w:p>
          <w:p w:rsidR="00A11163" w:rsidRPr="004567E2" w:rsidRDefault="00A11163" w:rsidP="00A11163">
            <w:pPr>
              <w:rPr>
                <w:rFonts w:ascii="Times New Roman" w:hAnsi="Times New Roman"/>
                <w:sz w:val="24"/>
                <w:szCs w:val="24"/>
                <w:lang w:val="en-CA"/>
              </w:rPr>
            </w:pPr>
          </w:p>
          <w:p w:rsidR="00A11163" w:rsidRPr="004567E2" w:rsidRDefault="007835EF" w:rsidP="00A11163">
            <w:pPr>
              <w:pStyle w:val="ListParagraph"/>
              <w:numPr>
                <w:ilvl w:val="0"/>
                <w:numId w:val="31"/>
              </w:numPr>
              <w:rPr>
                <w:rFonts w:ascii="Times New Roman" w:hAnsi="Times New Roman"/>
                <w:sz w:val="24"/>
                <w:szCs w:val="24"/>
                <w:lang w:val="en-CA"/>
              </w:rPr>
            </w:pPr>
            <w:hyperlink r:id="rId899" w:history="1">
              <w:r w:rsidR="00A11163" w:rsidRPr="004567E2">
                <w:rPr>
                  <w:rStyle w:val="Hyperlink"/>
                  <w:rFonts w:ascii="Times New Roman" w:hAnsi="Times New Roman"/>
                  <w:sz w:val="24"/>
                  <w:szCs w:val="24"/>
                  <w:lang w:val="en-CA"/>
                </w:rPr>
                <w:t>Implementing ITU-T International Standards to Shape Smart Sustainable Cities: The Case of Moscow</w:t>
              </w:r>
            </w:hyperlink>
            <w:r w:rsidR="00A11163" w:rsidRPr="004567E2">
              <w:rPr>
                <w:rFonts w:ascii="Times New Roman" w:hAnsi="Times New Roman"/>
                <w:sz w:val="24"/>
                <w:szCs w:val="24"/>
                <w:lang w:val="en-CA"/>
              </w:rPr>
              <w:t>.</w:t>
            </w:r>
          </w:p>
          <w:p w:rsidR="00A11163" w:rsidRPr="004567E2" w:rsidRDefault="00A11163" w:rsidP="00A11163">
            <w:pPr>
              <w:pStyle w:val="ListParagraph"/>
              <w:numPr>
                <w:ilvl w:val="0"/>
                <w:numId w:val="31"/>
              </w:numPr>
              <w:rPr>
                <w:rFonts w:ascii="Times New Roman" w:hAnsi="Times New Roman"/>
                <w:sz w:val="24"/>
                <w:szCs w:val="24"/>
                <w:lang w:val="en-CA"/>
              </w:rPr>
            </w:pPr>
            <w:r w:rsidRPr="004567E2">
              <w:rPr>
                <w:rFonts w:ascii="Times New Roman" w:hAnsi="Times New Roman"/>
                <w:sz w:val="24"/>
                <w:szCs w:val="24"/>
                <w:lang w:val="en-CA"/>
              </w:rPr>
              <w:t xml:space="preserve">Publication - </w:t>
            </w:r>
            <w:hyperlink r:id="rId900" w:history="1">
              <w:r w:rsidRPr="004567E2">
                <w:rPr>
                  <w:rStyle w:val="Hyperlink"/>
                  <w:rFonts w:ascii="Times New Roman" w:hAnsi="Times New Roman"/>
                  <w:sz w:val="24"/>
                  <w:szCs w:val="24"/>
                  <w:lang w:val="en-CA"/>
                </w:rPr>
                <w:t>Implementing ITU-T International Standards to Shape Smart Sustainable Cities: The Case of Singapore</w:t>
              </w:r>
            </w:hyperlink>
            <w:r w:rsidRPr="004567E2">
              <w:rPr>
                <w:rFonts w:ascii="Times New Roman" w:hAnsi="Times New Roman"/>
                <w:sz w:val="24"/>
                <w:szCs w:val="24"/>
                <w:lang w:val="en-CA"/>
              </w:rPr>
              <w:t>.</w:t>
            </w:r>
          </w:p>
          <w:p w:rsidR="00A11163" w:rsidRPr="004567E2" w:rsidRDefault="00A11163" w:rsidP="00A11163">
            <w:pPr>
              <w:pStyle w:val="ListParagraph"/>
              <w:numPr>
                <w:ilvl w:val="0"/>
                <w:numId w:val="31"/>
              </w:numPr>
              <w:rPr>
                <w:rStyle w:val="Hyperlink"/>
                <w:rFonts w:ascii="Times New Roman" w:hAnsi="Times New Roman"/>
                <w:color w:val="auto"/>
                <w:u w:val="none"/>
                <w:lang w:val="en-CA"/>
              </w:rPr>
            </w:pPr>
            <w:r w:rsidRPr="004567E2">
              <w:rPr>
                <w:rFonts w:ascii="Times New Roman" w:hAnsi="Times New Roman"/>
                <w:sz w:val="24"/>
                <w:szCs w:val="24"/>
                <w:lang w:val="en-CA"/>
              </w:rPr>
              <w:t xml:space="preserve">Publication - </w:t>
            </w:r>
            <w:hyperlink r:id="rId901" w:history="1">
              <w:r w:rsidRPr="004567E2">
                <w:rPr>
                  <w:rStyle w:val="Hyperlink"/>
                  <w:rFonts w:ascii="Times New Roman" w:hAnsi="Times New Roman"/>
                  <w:sz w:val="24"/>
                  <w:szCs w:val="24"/>
                  <w:lang w:val="en-CA"/>
                </w:rPr>
                <w:t>Implementing ITU-T International Standards to Shape Smart Sustainable Cities: The Case of Dubai.</w:t>
              </w:r>
            </w:hyperlink>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9.1, 11.2,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T.1-5</w:t>
            </w:r>
          </w:p>
        </w:tc>
        <w:tc>
          <w:tcPr>
            <w:tcW w:w="756" w:type="dxa"/>
          </w:tcPr>
          <w:p w:rsidR="00A11163" w:rsidRPr="004567E2" w:rsidRDefault="00A11163" w:rsidP="00A11163">
            <w:pPr>
              <w:pStyle w:val="ListParagraph"/>
              <w:numPr>
                <w:ilvl w:val="0"/>
                <w:numId w:val="18"/>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SSC</w:t>
            </w:r>
          </w:p>
        </w:tc>
        <w:tc>
          <w:tcPr>
            <w:tcW w:w="8278" w:type="dxa"/>
          </w:tcPr>
          <w:p w:rsidR="00A11163" w:rsidRPr="004567E2" w:rsidRDefault="00A11163" w:rsidP="00A11163">
            <w:pPr>
              <w:rPr>
                <w:rStyle w:val="Hyperlink"/>
                <w:rFonts w:ascii="Times New Roman" w:hAnsi="Times New Roman" w:cs="Times New Roman"/>
                <w:sz w:val="24"/>
                <w:szCs w:val="24"/>
              </w:rPr>
            </w:pPr>
            <w:r w:rsidRPr="004567E2">
              <w:rPr>
                <w:rFonts w:ascii="Times New Roman" w:hAnsi="Times New Roman" w:cs="Times New Roman"/>
                <w:sz w:val="24"/>
                <w:szCs w:val="24"/>
              </w:rPr>
              <w:t xml:space="preserve">ITU </w:t>
            </w:r>
            <w:r w:rsidRPr="004567E2">
              <w:rPr>
                <w:rFonts w:ascii="Times New Roman" w:hAnsi="Times New Roman" w:cs="Times New Roman"/>
                <w:bCs/>
                <w:iCs/>
                <w:sz w:val="24"/>
                <w:szCs w:val="24"/>
              </w:rPr>
              <w:t>in partnership with UNECE to develop an extensive list of KPI for Smart Sustainable City</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C11</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 xml:space="preserve">9.1, 11.3,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T.1-5</w:t>
            </w:r>
          </w:p>
        </w:tc>
        <w:tc>
          <w:tcPr>
            <w:tcW w:w="756" w:type="dxa"/>
          </w:tcPr>
          <w:p w:rsidR="00A11163" w:rsidRPr="004567E2" w:rsidRDefault="00A11163" w:rsidP="00A11163">
            <w:pPr>
              <w:pStyle w:val="ListParagraph"/>
              <w:numPr>
                <w:ilvl w:val="0"/>
                <w:numId w:val="18"/>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SSC</w:t>
            </w:r>
          </w:p>
        </w:tc>
        <w:tc>
          <w:tcPr>
            <w:tcW w:w="8278" w:type="dxa"/>
          </w:tcPr>
          <w:p w:rsidR="00A11163" w:rsidRPr="004567E2" w:rsidRDefault="00A11163" w:rsidP="00A11163">
            <w:pPr>
              <w:rPr>
                <w:rStyle w:val="Hyperlink"/>
                <w:rFonts w:ascii="Times New Roman" w:hAnsi="Times New Roman" w:cs="Times New Roman"/>
                <w:sz w:val="24"/>
                <w:szCs w:val="24"/>
              </w:rPr>
            </w:pPr>
            <w:r w:rsidRPr="004567E2">
              <w:rPr>
                <w:rFonts w:ascii="Times New Roman" w:hAnsi="Times New Roman" w:cs="Times New Roman"/>
                <w:sz w:val="24"/>
                <w:szCs w:val="24"/>
              </w:rPr>
              <w:t xml:space="preserve">ITU and UNECE have launched the </w:t>
            </w:r>
            <w:hyperlink r:id="rId902" w:history="1">
              <w:r w:rsidRPr="004567E2">
                <w:rPr>
                  <w:rStyle w:val="Hyperlink"/>
                  <w:rFonts w:ascii="Times New Roman" w:hAnsi="Times New Roman" w:cs="Times New Roman"/>
                  <w:sz w:val="24"/>
                  <w:szCs w:val="24"/>
                </w:rPr>
                <w:t>United for Smart Sustainable Cities (U4SSC)</w:t>
              </w:r>
            </w:hyperlink>
            <w:r w:rsidRPr="004567E2">
              <w:rPr>
                <w:rFonts w:ascii="Times New Roman" w:hAnsi="Times New Roman" w:cs="Times New Roman"/>
                <w:sz w:val="24"/>
                <w:szCs w:val="24"/>
              </w:rPr>
              <w:t>, a global initiative which advocates for public policy to encourage the use of ICTs in enabling the transition to smart sustainable cities. The initiative will assist the response to Goal 11 of the United Nations Sustainable Development Goals (SDGs): to “Make cities and human settlements inclusive, safe, resilient and sustainable”.</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C11</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11.3, 17.6</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T.1-5</w:t>
            </w:r>
          </w:p>
        </w:tc>
        <w:tc>
          <w:tcPr>
            <w:tcW w:w="756" w:type="dxa"/>
          </w:tcPr>
          <w:p w:rsidR="00A11163" w:rsidRPr="004567E2" w:rsidRDefault="00A11163" w:rsidP="00A11163">
            <w:pPr>
              <w:pStyle w:val="ListParagraph"/>
              <w:numPr>
                <w:ilvl w:val="0"/>
                <w:numId w:val="18"/>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SSC</w:t>
            </w:r>
          </w:p>
        </w:tc>
        <w:tc>
          <w:tcPr>
            <w:tcW w:w="8278" w:type="dxa"/>
          </w:tcPr>
          <w:p w:rsidR="00A11163" w:rsidRPr="004567E2" w:rsidRDefault="007835EF" w:rsidP="00A11163">
            <w:pPr>
              <w:rPr>
                <w:rStyle w:val="Hyperlink"/>
                <w:rFonts w:ascii="Times New Roman" w:hAnsi="Times New Roman" w:cs="Times New Roman"/>
                <w:sz w:val="24"/>
                <w:szCs w:val="24"/>
              </w:rPr>
            </w:pPr>
            <w:hyperlink r:id="rId903" w:history="1">
              <w:r w:rsidR="00A11163" w:rsidRPr="004567E2">
                <w:rPr>
                  <w:rStyle w:val="Hyperlink"/>
                  <w:rFonts w:ascii="Times New Roman" w:hAnsi="Times New Roman" w:cs="Times New Roman"/>
                  <w:sz w:val="24"/>
                  <w:szCs w:val="24"/>
                </w:rPr>
                <w:t>Technical Report “Implementing ITU-T International Standards to Shape Smart Sustainable Cities: The Case of Dubai</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w:t>
            </w:r>
            <w:r w:rsidR="00A11163" w:rsidRPr="004567E2">
              <w:rPr>
                <w:rFonts w:ascii="Times New Roman" w:eastAsia="Times New Roman" w:hAnsi="Times New Roman" w:cs="Times New Roman"/>
                <w:sz w:val="24"/>
                <w:szCs w:val="24"/>
              </w:rPr>
              <w:t>is the first of its kind, developed by ITU, detailing Dubai’s ambitious and trailblazing journey towards becoming a smart city, a venture worthy of emulation by other aspiring smart cities around the world.</w:t>
            </w:r>
            <w:r w:rsidR="00A11163" w:rsidRPr="004567E2">
              <w:rPr>
                <w:rFonts w:ascii="Times New Roman" w:eastAsia="Times New Roman" w:hAnsi="Times New Roman" w:cs="Times New Roman"/>
                <w:sz w:val="24"/>
                <w:szCs w:val="24"/>
              </w:rPr>
              <w:br/>
              <w:t xml:space="preserve">Following ITU’s and Smart Dubai’s collaboration on Dubai’s smart city endeavour, </w:t>
            </w:r>
            <w:r w:rsidR="00A11163" w:rsidRPr="004567E2">
              <w:rPr>
                <w:rFonts w:ascii="Times New Roman" w:eastAsia="Times New Roman" w:hAnsi="Times New Roman" w:cs="Times New Roman"/>
                <w:sz w:val="24"/>
                <w:szCs w:val="24"/>
              </w:rPr>
              <w:lastRenderedPageBreak/>
              <w:t>the ITU-T Recommendations Y.4901/L.1601 and ITU-T Y.4902/L.1602 were piloted in Dubai to determine their feasibility and to measure Dubai’s level of success in its smart city venture. As we bid adieu to the first year of the pilot project, this case study reveals, inter alia, that the KPIs would need to be refined to enhance their applicability in Dubai and on a global scale. To assist aspiring smart sustainable cities in their journeys, this case study also derives best practices based on Dubai’s current activities. It concludes with some useful suggestions for adoption by Dubai and ITU during the second year of the implementation of this pilot project.</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9.1, 11.3</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T.1-5</w:t>
            </w:r>
          </w:p>
        </w:tc>
        <w:tc>
          <w:tcPr>
            <w:tcW w:w="756" w:type="dxa"/>
          </w:tcPr>
          <w:p w:rsidR="00A11163" w:rsidRPr="004567E2" w:rsidRDefault="00A11163" w:rsidP="00A11163">
            <w:pPr>
              <w:pStyle w:val="ListParagraph"/>
              <w:numPr>
                <w:ilvl w:val="0"/>
                <w:numId w:val="18"/>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CC portal</w:t>
            </w:r>
          </w:p>
        </w:tc>
        <w:tc>
          <w:tcPr>
            <w:tcW w:w="8278" w:type="dxa"/>
          </w:tcPr>
          <w:p w:rsidR="00A11163" w:rsidRPr="004567E2" w:rsidRDefault="007835EF" w:rsidP="00A11163">
            <w:pPr>
              <w:rPr>
                <w:rStyle w:val="Hyperlink"/>
                <w:rFonts w:ascii="Times New Roman" w:hAnsi="Times New Roman" w:cs="Times New Roman"/>
                <w:sz w:val="24"/>
                <w:szCs w:val="24"/>
              </w:rPr>
            </w:pPr>
            <w:hyperlink r:id="rId904" w:history="1">
              <w:r w:rsidR="00A11163" w:rsidRPr="004567E2">
                <w:rPr>
                  <w:rStyle w:val="Hyperlink"/>
                  <w:rFonts w:ascii="Times New Roman" w:hAnsi="Times New Roman" w:cs="Times New Roman"/>
                  <w:sz w:val="24"/>
                  <w:szCs w:val="24"/>
                </w:rPr>
                <w:t>A Global Portal on ICTs, Environment, Climate Change and Circular Economy</w:t>
              </w:r>
            </w:hyperlink>
            <w:r w:rsidR="00A11163" w:rsidRPr="004567E2">
              <w:rPr>
                <w:rFonts w:ascii="Times New Roman" w:hAnsi="Times New Roman" w:cs="Times New Roman"/>
                <w:sz w:val="24"/>
                <w:szCs w:val="24"/>
              </w:rPr>
              <w:t xml:space="preserve"> is being maintained and provides references to external resources on these issues.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C3,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T.1-5</w:t>
            </w:r>
          </w:p>
        </w:tc>
        <w:tc>
          <w:tcPr>
            <w:tcW w:w="756" w:type="dxa"/>
          </w:tcPr>
          <w:p w:rsidR="00A11163" w:rsidRPr="004567E2" w:rsidRDefault="00A11163" w:rsidP="00A11163">
            <w:pPr>
              <w:pStyle w:val="ListParagraph"/>
              <w:numPr>
                <w:ilvl w:val="0"/>
                <w:numId w:val="18"/>
              </w:numPr>
              <w:contextualSpacing w:val="0"/>
              <w:rPr>
                <w:rFonts w:ascii="Times New Roman" w:hAnsi="Times New Roman" w:cs="Times New Roman"/>
                <w:bCs/>
                <w:color w:val="000000"/>
                <w:sz w:val="24"/>
                <w:szCs w:val="24"/>
              </w:rPr>
            </w:pPr>
          </w:p>
        </w:tc>
        <w:tc>
          <w:tcPr>
            <w:tcW w:w="2403" w:type="dxa"/>
          </w:tcPr>
          <w:p w:rsidR="00A11163" w:rsidRPr="007835EF" w:rsidRDefault="00A11163" w:rsidP="00A11163">
            <w:pPr>
              <w:rPr>
                <w:rFonts w:ascii="Times New Roman" w:hAnsi="Times New Roman" w:cs="Times New Roman"/>
                <w:bCs/>
                <w:color w:val="000000"/>
                <w:sz w:val="24"/>
                <w:szCs w:val="24"/>
                <w:lang w:val="fr-CH"/>
              </w:rPr>
            </w:pPr>
            <w:r w:rsidRPr="007835EF">
              <w:rPr>
                <w:rFonts w:ascii="Times New Roman" w:hAnsi="Times New Roman" w:cs="Times New Roman"/>
                <w:bCs/>
                <w:color w:val="000000"/>
                <w:sz w:val="24"/>
                <w:szCs w:val="24"/>
                <w:lang w:val="fr-CH"/>
              </w:rPr>
              <w:t>ITU-T IoT &amp; SSC portal</w:t>
            </w:r>
          </w:p>
        </w:tc>
        <w:tc>
          <w:tcPr>
            <w:tcW w:w="8278" w:type="dxa"/>
          </w:tcPr>
          <w:p w:rsidR="00A11163" w:rsidRPr="004567E2" w:rsidRDefault="00A11163" w:rsidP="00A11163">
            <w:pPr>
              <w:rPr>
                <w:rStyle w:val="Hyperlink"/>
                <w:rFonts w:ascii="Times New Roman" w:hAnsi="Times New Roman" w:cs="Times New Roman"/>
                <w:sz w:val="24"/>
                <w:szCs w:val="24"/>
              </w:rPr>
            </w:pPr>
            <w:r w:rsidRPr="004567E2">
              <w:rPr>
                <w:rFonts w:ascii="Times New Roman" w:hAnsi="Times New Roman" w:cs="Times New Roman"/>
                <w:sz w:val="24"/>
                <w:szCs w:val="24"/>
              </w:rPr>
              <w:t xml:space="preserve">A </w:t>
            </w:r>
            <w:hyperlink r:id="rId905" w:history="1">
              <w:r w:rsidRPr="004567E2">
                <w:rPr>
                  <w:rStyle w:val="Hyperlink"/>
                  <w:rFonts w:ascii="Times New Roman" w:hAnsi="Times New Roman" w:cs="Times New Roman"/>
                  <w:sz w:val="24"/>
                  <w:szCs w:val="24"/>
                </w:rPr>
                <w:t>Global Portal on IoT, Smart Cities &amp; Communities</w:t>
              </w:r>
            </w:hyperlink>
            <w:r w:rsidRPr="004567E2">
              <w:rPr>
                <w:rFonts w:ascii="Times New Roman" w:hAnsi="Times New Roman" w:cs="Times New Roman"/>
                <w:sz w:val="24"/>
                <w:szCs w:val="24"/>
              </w:rPr>
              <w:t xml:space="preserve"> is being maintained and provides references to external resources on these issues.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C3,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9.1, 11.2, 11.6, 13.1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T.1-5</w:t>
            </w:r>
          </w:p>
        </w:tc>
        <w:tc>
          <w:tcPr>
            <w:tcW w:w="756" w:type="dxa"/>
          </w:tcPr>
          <w:p w:rsidR="00A11163" w:rsidRPr="004567E2" w:rsidRDefault="00A11163" w:rsidP="00A11163">
            <w:pPr>
              <w:pStyle w:val="ListParagraph"/>
              <w:numPr>
                <w:ilvl w:val="0"/>
                <w:numId w:val="18"/>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e-waste</w:t>
            </w:r>
          </w:p>
        </w:tc>
        <w:tc>
          <w:tcPr>
            <w:tcW w:w="8278"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iCs/>
                <w:sz w:val="24"/>
                <w:szCs w:val="24"/>
              </w:rPr>
              <w:t>From 2015 until October 2016, ITU and the Caribbean Broadcasting Union (CTU) collaborated on an ITU-funded e-Waste project. The objective of the project was the formulation of model policies in the areas of environmental standards, electronic waste management and recycling, focusing in particular on television devices, as well as mobile phones and computers.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12.4, 12.5, 12.a, 17.6</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T.1-5</w:t>
            </w:r>
          </w:p>
        </w:tc>
        <w:tc>
          <w:tcPr>
            <w:tcW w:w="756" w:type="dxa"/>
          </w:tcPr>
          <w:p w:rsidR="00A11163" w:rsidRPr="004567E2" w:rsidRDefault="00A11163" w:rsidP="00A11163">
            <w:pPr>
              <w:pStyle w:val="ListParagraph"/>
              <w:numPr>
                <w:ilvl w:val="0"/>
                <w:numId w:val="18"/>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e-waste</w:t>
            </w:r>
          </w:p>
        </w:tc>
        <w:tc>
          <w:tcPr>
            <w:tcW w:w="8278" w:type="dxa"/>
          </w:tcPr>
          <w:p w:rsidR="00A11163" w:rsidRPr="004567E2" w:rsidRDefault="00A11163" w:rsidP="00A11163">
            <w:pPr>
              <w:rPr>
                <w:rFonts w:ascii="Times New Roman" w:hAnsi="Times New Roman" w:cs="Times New Roman"/>
                <w:bCs/>
                <w:iCs/>
                <w:sz w:val="24"/>
                <w:szCs w:val="24"/>
              </w:rPr>
            </w:pPr>
            <w:r w:rsidRPr="004567E2">
              <w:rPr>
                <w:rFonts w:ascii="Times New Roman" w:hAnsi="Times New Roman" w:cs="Times New Roman"/>
                <w:bCs/>
                <w:iCs/>
                <w:sz w:val="24"/>
                <w:szCs w:val="24"/>
              </w:rPr>
              <w:t>In partnership with University of La Plata of Argentina, ITU is developing a project to establish a Pilot Plant that will provide concrete responses to the E-Waste problems in cities in line with the Sustainable Development Goals. This project also seeks to contribute to the implementation of WTDC Resolution 66 (Rev. Dubai, 2014) to provide assistance to developing countries in the use of ICTs to mitigate and address the effects of climate change, taking into account the impact of ICTs on the environment.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12.4, 12.5, 12.a, 17.6</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T.1-5</w:t>
            </w:r>
          </w:p>
        </w:tc>
        <w:tc>
          <w:tcPr>
            <w:tcW w:w="756" w:type="dxa"/>
          </w:tcPr>
          <w:p w:rsidR="00A11163" w:rsidRPr="004567E2" w:rsidRDefault="00A11163" w:rsidP="00A11163">
            <w:pPr>
              <w:pStyle w:val="ListParagraph"/>
              <w:numPr>
                <w:ilvl w:val="0"/>
                <w:numId w:val="18"/>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e-waste</w:t>
            </w:r>
          </w:p>
        </w:tc>
        <w:tc>
          <w:tcPr>
            <w:tcW w:w="8278" w:type="dxa"/>
          </w:tcPr>
          <w:p w:rsidR="00A11163" w:rsidRPr="004567E2" w:rsidRDefault="007835EF" w:rsidP="00A11163">
            <w:pPr>
              <w:pStyle w:val="ListParagraph"/>
              <w:numPr>
                <w:ilvl w:val="0"/>
                <w:numId w:val="32"/>
              </w:numPr>
              <w:rPr>
                <w:rFonts w:ascii="Times New Roman" w:hAnsi="Times New Roman"/>
                <w:sz w:val="24"/>
                <w:szCs w:val="24"/>
                <w:lang w:val="en-CA"/>
              </w:rPr>
            </w:pPr>
            <w:hyperlink r:id="rId906" w:history="1">
              <w:r w:rsidR="00A11163" w:rsidRPr="004567E2">
                <w:rPr>
                  <w:rStyle w:val="Hyperlink"/>
                  <w:rFonts w:ascii="Times New Roman" w:hAnsi="Times New Roman"/>
                  <w:sz w:val="24"/>
                  <w:szCs w:val="24"/>
                  <w:lang w:val="en-CA"/>
                </w:rPr>
                <w:t>ITU-T Global Portal on E-waste</w:t>
              </w:r>
            </w:hyperlink>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12.4, 12.5, 12.a, 17.6</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T.1-5</w:t>
            </w:r>
          </w:p>
        </w:tc>
        <w:tc>
          <w:tcPr>
            <w:tcW w:w="756" w:type="dxa"/>
          </w:tcPr>
          <w:p w:rsidR="00A11163" w:rsidRPr="004567E2" w:rsidRDefault="00A11163" w:rsidP="00A11163">
            <w:pPr>
              <w:pStyle w:val="ListParagraph"/>
              <w:numPr>
                <w:ilvl w:val="0"/>
                <w:numId w:val="18"/>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ITU/WMO/UNESCO-IOC Joint Task Force on SMART  Cable Systems</w:t>
            </w:r>
          </w:p>
        </w:tc>
        <w:tc>
          <w:tcPr>
            <w:tcW w:w="8278" w:type="dxa"/>
          </w:tcPr>
          <w:p w:rsidR="00A11163" w:rsidRPr="004567E2" w:rsidRDefault="00A11163" w:rsidP="00A11163">
            <w:pPr>
              <w:rPr>
                <w:rStyle w:val="Hyperlink"/>
                <w:rFonts w:ascii="Times New Roman" w:hAnsi="Times New Roman" w:cs="Times New Roman"/>
                <w:sz w:val="24"/>
                <w:szCs w:val="24"/>
              </w:rPr>
            </w:pPr>
            <w:r w:rsidRPr="004567E2">
              <w:rPr>
                <w:rFonts w:ascii="Times New Roman" w:hAnsi="Times New Roman" w:cs="Times New Roman"/>
                <w:bCs/>
                <w:iCs/>
                <w:sz w:val="24"/>
                <w:szCs w:val="24"/>
              </w:rPr>
              <w:t xml:space="preserve">Work of ITU/WMO/UNESCO-IOC Joint Task Force on Green Cable System for the purpose of developing a strategy band roadmap to add climate and hazard monitoring on submarine cables. </w:t>
            </w:r>
            <w:r w:rsidRPr="004567E2">
              <w:rPr>
                <w:rFonts w:ascii="Times New Roman" w:hAnsi="Times New Roman" w:cs="Times New Roman"/>
                <w:sz w:val="24"/>
                <w:szCs w:val="24"/>
              </w:rPr>
              <w:t xml:space="preserve">The </w:t>
            </w:r>
            <w:hyperlink r:id="rId907" w:history="1">
              <w:r w:rsidRPr="004567E2">
                <w:rPr>
                  <w:rStyle w:val="Hyperlink"/>
                  <w:rFonts w:ascii="Times New Roman" w:hAnsi="Times New Roman" w:cs="Times New Roman"/>
                  <w:bCs/>
                  <w:sz w:val="24"/>
                  <w:szCs w:val="24"/>
                </w:rPr>
                <w:t>ITU/WMO/UNESCO-IOC Joint Task Force on SMART</w:t>
              </w:r>
              <w:r w:rsidRPr="004567E2">
                <w:rPr>
                  <w:rStyle w:val="FootnoteReference"/>
                  <w:rFonts w:ascii="Times New Roman" w:hAnsi="Times New Roman" w:cs="Times New Roman"/>
                  <w:bCs/>
                  <w:color w:val="0000FF"/>
                  <w:sz w:val="24"/>
                  <w:szCs w:val="24"/>
                  <w:u w:val="single"/>
                </w:rPr>
                <w:footnoteReference w:id="1"/>
              </w:r>
              <w:r w:rsidRPr="004567E2">
                <w:rPr>
                  <w:rStyle w:val="Hyperlink"/>
                  <w:rFonts w:ascii="Times New Roman" w:hAnsi="Times New Roman" w:cs="Times New Roman"/>
                  <w:bCs/>
                  <w:sz w:val="24"/>
                  <w:szCs w:val="24"/>
                </w:rPr>
                <w:t xml:space="preserve"> Cable Systems</w:t>
              </w:r>
            </w:hyperlink>
            <w:r w:rsidRPr="004567E2">
              <w:rPr>
                <w:rFonts w:ascii="Times New Roman" w:hAnsi="Times New Roman" w:cs="Times New Roman"/>
                <w:sz w:val="24"/>
                <w:szCs w:val="24"/>
              </w:rPr>
              <w:t xml:space="preserve"> is leading an ambitious new project to equip submarine communications cables with climate and hazard-monitoring sensors to create a global observation network capable of providing earthquake and tsunami warnings as well as data on ocean climate change and circulation. These new ''SMART (green) cables' would collect data of great value to the scientific community, as well industries such as fisheries and energy. </w:t>
            </w:r>
            <w:r w:rsidRPr="004567E2">
              <w:rPr>
                <w:rFonts w:ascii="Times New Roman" w:eastAsiaTheme="majorBidi" w:hAnsi="Times New Roman" w:cs="Times New Roman"/>
                <w:sz w:val="24"/>
                <w:szCs w:val="24"/>
              </w:rPr>
              <w:t>The JTF is developing a pilot project (a so-called 'wet demonstrator') with the active participation of cable suppliers, owners and researchers from existing ocean observatories.</w:t>
            </w:r>
            <w:r w:rsidRPr="004567E2">
              <w:rPr>
                <w:rFonts w:ascii="Times New Roman" w:hAnsi="Times New Roman" w:cs="Times New Roman"/>
                <w:sz w:val="24"/>
                <w:szCs w:val="24"/>
              </w:rPr>
              <w:t xml:space="preserve"> Experts have deemed the project to be technically feasible with the JTF members now working to solve business, legal and economic challenges. In order to identify qualified candidates to provide materials and services needed to realize the Wet Demonstrator project, an RFI (request for information) was sent to various organizations at the end of 2016. Several positive responses were received and they are now under study. ITU standardization continues to tackle disaster relief, network resilience and recovery, recognizing that the 21</w:t>
            </w:r>
            <w:r w:rsidRPr="004567E2">
              <w:rPr>
                <w:rFonts w:ascii="Times New Roman" w:hAnsi="Times New Roman" w:cs="Times New Roman"/>
                <w:sz w:val="24"/>
                <w:szCs w:val="24"/>
                <w:vertAlign w:val="superscript"/>
              </w:rPr>
              <w:t>st</w:t>
            </w:r>
            <w:r w:rsidRPr="004567E2">
              <w:rPr>
                <w:rFonts w:ascii="Times New Roman" w:hAnsi="Times New Roman" w:cs="Times New Roman"/>
                <w:sz w:val="24"/>
                <w:szCs w:val="24"/>
              </w:rPr>
              <w:t xml:space="preserve"> century is playing host to an increasing prevalence of extreme weather events.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 13.b, 17.6,</w:t>
            </w:r>
            <w:r w:rsidRPr="004567E2">
              <w:rPr>
                <w:rFonts w:ascii="Times New Roman" w:hAnsi="Times New Roman" w:cs="Times New Roman"/>
                <w:sz w:val="24"/>
                <w:szCs w:val="24"/>
              </w:rPr>
              <w:t xml:space="preserve">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T.1-5</w:t>
            </w:r>
          </w:p>
        </w:tc>
        <w:tc>
          <w:tcPr>
            <w:tcW w:w="756" w:type="dxa"/>
          </w:tcPr>
          <w:p w:rsidR="00A11163" w:rsidRPr="004567E2" w:rsidRDefault="00A11163" w:rsidP="00A11163">
            <w:pPr>
              <w:pStyle w:val="ListParagraph"/>
              <w:numPr>
                <w:ilvl w:val="0"/>
                <w:numId w:val="18"/>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JTF</w:t>
            </w:r>
          </w:p>
        </w:tc>
        <w:tc>
          <w:tcPr>
            <w:tcW w:w="8278" w:type="dxa"/>
          </w:tcPr>
          <w:p w:rsidR="00A11163" w:rsidRPr="004567E2" w:rsidRDefault="00A11163" w:rsidP="00A11163">
            <w:pPr>
              <w:rPr>
                <w:rStyle w:val="Hyperlink"/>
                <w:rFonts w:ascii="Times New Roman" w:hAnsi="Times New Roman" w:cs="Times New Roman"/>
                <w:sz w:val="24"/>
                <w:szCs w:val="24"/>
              </w:rPr>
            </w:pPr>
            <w:r w:rsidRPr="004567E2">
              <w:rPr>
                <w:rFonts w:ascii="Times New Roman" w:eastAsia="Times New Roman" w:hAnsi="Times New Roman" w:cs="Times New Roman"/>
                <w:bCs/>
                <w:color w:val="000000" w:themeColor="text1"/>
                <w:sz w:val="24"/>
                <w:szCs w:val="24"/>
              </w:rPr>
              <w:t xml:space="preserve">ITU, the Intergovernmental Oceanographic Commission of the United Nations Educational, Scientific and Cultural Organization (UNESCO/IOC), and the World Meteorological Organization (WMO) established a </w:t>
            </w:r>
            <w:hyperlink r:id="rId908" w:history="1">
              <w:r w:rsidRPr="004567E2">
                <w:rPr>
                  <w:rStyle w:val="Hyperlink"/>
                  <w:rFonts w:ascii="Times New Roman" w:eastAsia="Times New Roman" w:hAnsi="Times New Roman" w:cs="Times New Roman"/>
                  <w:bCs/>
                  <w:sz w:val="24"/>
                  <w:szCs w:val="24"/>
                </w:rPr>
                <w:t>Joint Task Force (JTF)</w:t>
              </w:r>
            </w:hyperlink>
            <w:r w:rsidRPr="004567E2">
              <w:rPr>
                <w:rFonts w:ascii="Times New Roman" w:eastAsia="Times New Roman" w:hAnsi="Times New Roman" w:cs="Times New Roman"/>
                <w:bCs/>
                <w:color w:val="000000" w:themeColor="text1"/>
                <w:sz w:val="24"/>
                <w:szCs w:val="24"/>
              </w:rPr>
              <w:t xml:space="preserve"> in late </w:t>
            </w:r>
            <w:r w:rsidRPr="004567E2">
              <w:rPr>
                <w:rFonts w:ascii="Times New Roman" w:eastAsia="Times New Roman" w:hAnsi="Times New Roman" w:cs="Times New Roman"/>
                <w:bCs/>
                <w:color w:val="000000" w:themeColor="text1"/>
                <w:sz w:val="24"/>
                <w:szCs w:val="24"/>
              </w:rPr>
              <w:lastRenderedPageBreak/>
              <w:t>2012 after Workshops in Rome (2011) and Paris (2012).</w:t>
            </w:r>
            <w:r w:rsidRPr="004567E2">
              <w:rPr>
                <w:rFonts w:ascii="Times New Roman" w:eastAsia="Times New Roman" w:hAnsi="Times New Roman" w:cs="Times New Roman"/>
                <w:bCs/>
                <w:color w:val="000000" w:themeColor="text1"/>
                <w:sz w:val="24"/>
                <w:szCs w:val="24"/>
              </w:rPr>
              <w:br/>
              <w:t>The JTF is tasked with developing a strategy and roadmap that could lead to enabling the availability of submarine repeaters equipped with scientific sensors for ocean and climate monitoring and disaster risk reduction (tsunamis). It will also analyse the potential renovation and relocation of retired out-of-service cables in this realm. With the installation of new trans-ocean and regional telecommunication cable systems equipped with sensors, a global network could be established providing decadal real-time data for ocean climate monitoring and disaster mitigation (particularly from tsunamis).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9.1, 13.1, </w:t>
            </w:r>
            <w:r w:rsidRPr="004567E2">
              <w:rPr>
                <w:rFonts w:ascii="Times New Roman" w:hAnsi="Times New Roman" w:cs="Times New Roman"/>
                <w:bCs/>
                <w:color w:val="000000"/>
                <w:sz w:val="24"/>
                <w:szCs w:val="24"/>
              </w:rPr>
              <w:lastRenderedPageBreak/>
              <w:t>13.b, 14.a</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T.1-5, T.4-1</w:t>
            </w:r>
          </w:p>
        </w:tc>
        <w:tc>
          <w:tcPr>
            <w:tcW w:w="756" w:type="dxa"/>
          </w:tcPr>
          <w:p w:rsidR="00A11163" w:rsidRPr="004567E2" w:rsidRDefault="00A11163" w:rsidP="00A11163">
            <w:pPr>
              <w:pStyle w:val="Default"/>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tutorials</w:t>
            </w:r>
          </w:p>
        </w:tc>
        <w:tc>
          <w:tcPr>
            <w:tcW w:w="8278" w:type="dxa"/>
          </w:tcPr>
          <w:p w:rsidR="00A11163" w:rsidRPr="004567E2" w:rsidRDefault="00A11163" w:rsidP="00A11163">
            <w:pPr>
              <w:rPr>
                <w:rFonts w:ascii="Times New Roman" w:hAnsi="Times New Roman" w:cs="Times New Roman"/>
                <w:b/>
                <w:bCs/>
                <w:color w:val="000000"/>
                <w:sz w:val="24"/>
                <w:szCs w:val="24"/>
              </w:rPr>
            </w:pPr>
            <w:r w:rsidRPr="004567E2">
              <w:rPr>
                <w:rFonts w:ascii="Times New Roman" w:hAnsi="Times New Roman" w:cs="Times New Roman"/>
                <w:sz w:val="24"/>
                <w:szCs w:val="24"/>
              </w:rPr>
              <w:t>ITU-T is offering a number of tutorials on ICT technology and on the standardization process. Some of the training offered is web-based, i.e. by using current ICT technology. Using electronic working methods EWM help to drastically reduce the costs of training. ITU-T sees itself at the forefront of this, acting as a role model within the UN system and as the main entity which should further promote EWM for training purposes.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C4</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4.b,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T.1-6</w:t>
            </w:r>
          </w:p>
        </w:tc>
        <w:tc>
          <w:tcPr>
            <w:tcW w:w="756" w:type="dxa"/>
          </w:tcPr>
          <w:p w:rsidR="00A11163" w:rsidRPr="004567E2" w:rsidRDefault="00A11163" w:rsidP="00A11163">
            <w:pPr>
              <w:pStyle w:val="Default"/>
              <w:numPr>
                <w:ilvl w:val="0"/>
                <w:numId w:val="19"/>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C&amp;I DB</w:t>
            </w:r>
          </w:p>
        </w:tc>
        <w:tc>
          <w:tcPr>
            <w:tcW w:w="8278" w:type="dxa"/>
          </w:tcPr>
          <w:p w:rsidR="00A11163" w:rsidRPr="004567E2" w:rsidRDefault="00A11163" w:rsidP="00A11163">
            <w:pPr>
              <w:rPr>
                <w:rFonts w:ascii="Times New Roman" w:hAnsi="Times New Roman" w:cs="Times New Roman"/>
                <w:color w:val="000000"/>
                <w:sz w:val="24"/>
                <w:szCs w:val="24"/>
              </w:rPr>
            </w:pPr>
            <w:r w:rsidRPr="004567E2">
              <w:rPr>
                <w:rFonts w:ascii="Times New Roman" w:hAnsi="Times New Roman" w:cs="Times New Roman"/>
                <w:color w:val="000000"/>
                <w:sz w:val="24"/>
                <w:szCs w:val="24"/>
              </w:rPr>
              <w:t xml:space="preserve">The “ICT product conformity database” provides industry with a means to publicize the conformance of ICT products and services to ITU-T Recommendations. The database assists users in their efforts to select standards-compliant products. </w:t>
            </w:r>
          </w:p>
          <w:p w:rsidR="00A11163" w:rsidRPr="004567E2" w:rsidRDefault="00A11163" w:rsidP="00A11163">
            <w:pPr>
              <w:rPr>
                <w:rFonts w:ascii="Times New Roman" w:hAnsi="Times New Roman" w:cs="Times New Roman"/>
                <w:color w:val="000000"/>
                <w:sz w:val="24"/>
                <w:szCs w:val="24"/>
              </w:rPr>
            </w:pPr>
            <w:r w:rsidRPr="004567E2">
              <w:rPr>
                <w:rFonts w:ascii="Times New Roman" w:hAnsi="Times New Roman" w:cs="Times New Roman"/>
                <w:color w:val="000000"/>
                <w:sz w:val="24"/>
                <w:szCs w:val="24"/>
              </w:rPr>
              <w:t>e-Health solutions included in the database were tested for compliance with the specifications of the ITU-T H.810 “Interoperability design guidelines for personal health systems” sub-series, which are a transposition of the Continua Design Guidelines as international standards. The testing procedures are specified in the ITU-T H.820-H.850 sub-series of Recommendations.</w:t>
            </w:r>
          </w:p>
          <w:p w:rsidR="00A11163" w:rsidRPr="004567E2" w:rsidRDefault="00A11163" w:rsidP="00A11163">
            <w:pPr>
              <w:rPr>
                <w:rFonts w:ascii="Times New Roman" w:hAnsi="Times New Roman" w:cs="Times New Roman"/>
                <w:color w:val="000000"/>
                <w:sz w:val="24"/>
                <w:szCs w:val="24"/>
              </w:rPr>
            </w:pPr>
            <w:r w:rsidRPr="004567E2">
              <w:rPr>
                <w:rFonts w:ascii="Times New Roman" w:hAnsi="Times New Roman" w:cs="Times New Roman"/>
                <w:color w:val="000000"/>
                <w:sz w:val="24"/>
                <w:szCs w:val="24"/>
              </w:rPr>
              <w:t>Mobile phones included in the database were found to be compatible with Bluetooth-enabled vehicle hands-free terminals, compatibility determined in accordance with the ‘Chapter 12 tests’ (“Verification of the transmission performance of short-range wireless (SRW) transmission enabled phones”) of ITU-T P.1100 and ITU-T P.1110.</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T.1-7</w:t>
            </w:r>
          </w:p>
        </w:tc>
        <w:tc>
          <w:tcPr>
            <w:tcW w:w="756" w:type="dxa"/>
          </w:tcPr>
          <w:p w:rsidR="00A11163" w:rsidRPr="004567E2" w:rsidRDefault="00A11163" w:rsidP="00A11163">
            <w:pPr>
              <w:pStyle w:val="ListParagraph"/>
              <w:numPr>
                <w:ilvl w:val="0"/>
                <w:numId w:val="2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IPTV testing</w:t>
            </w:r>
          </w:p>
        </w:tc>
        <w:tc>
          <w:tcPr>
            <w:tcW w:w="8278"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sz w:val="24"/>
                <w:szCs w:val="24"/>
              </w:rPr>
              <w:t>A series of regular ITU-T IPTV testing events offers a continuous platform to test products based on both existing and developing ITU-T IPTV standards. The ITU IPTV IPv6 Global Testbed (</w:t>
            </w:r>
            <w:hyperlink r:id="rId909" w:history="1">
              <w:r w:rsidRPr="004567E2">
                <w:rPr>
                  <w:rStyle w:val="Hyperlink"/>
                  <w:rFonts w:ascii="Times New Roman" w:hAnsi="Times New Roman" w:cs="Times New Roman"/>
                  <w:sz w:val="24"/>
                  <w:szCs w:val="24"/>
                </w:rPr>
                <w:t>I3GT</w:t>
              </w:r>
            </w:hyperlink>
            <w:r w:rsidRPr="004567E2">
              <w:rPr>
                <w:rFonts w:ascii="Times New Roman" w:hAnsi="Times New Roman" w:cs="Times New Roman"/>
                <w:sz w:val="24"/>
                <w:szCs w:val="24"/>
              </w:rPr>
              <w:t>) project among ITU members with the support of ITU Secretariat tests various aspects of ITU-T’s IPTV standards, trains academia on up-to-date IPTV technologies, showcases standardized IPTV to stakeholders and also to promotes IPv6 capability deployment in developing countries.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 9.c</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T.1-7</w:t>
            </w:r>
          </w:p>
        </w:tc>
        <w:tc>
          <w:tcPr>
            <w:tcW w:w="756" w:type="dxa"/>
          </w:tcPr>
          <w:p w:rsidR="00A11163" w:rsidRPr="004567E2" w:rsidRDefault="00A11163" w:rsidP="00A11163">
            <w:pPr>
              <w:pStyle w:val="ListParagraph"/>
              <w:numPr>
                <w:ilvl w:val="0"/>
                <w:numId w:val="2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IPTV testing</w:t>
            </w:r>
          </w:p>
        </w:tc>
        <w:tc>
          <w:tcPr>
            <w:tcW w:w="8278"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 xml:space="preserve">A series of </w:t>
            </w:r>
            <w:hyperlink r:id="rId910" w:history="1">
              <w:r w:rsidRPr="004567E2">
                <w:rPr>
                  <w:rStyle w:val="Hyperlink"/>
                  <w:rFonts w:ascii="Times New Roman" w:hAnsi="Times New Roman" w:cs="Times New Roman"/>
                  <w:bCs/>
                  <w:sz w:val="24"/>
                  <w:szCs w:val="24"/>
                </w:rPr>
                <w:t>ITU test events on IPTV</w:t>
              </w:r>
            </w:hyperlink>
            <w:r w:rsidRPr="004567E2">
              <w:rPr>
                <w:rFonts w:ascii="Times New Roman" w:hAnsi="Times New Roman" w:cs="Times New Roman"/>
                <w:sz w:val="24"/>
                <w:szCs w:val="24"/>
              </w:rPr>
              <w:t xml:space="preserve"> has been organized to offer a continuous platform to test products based on both existing and developing ITU-T IPTV standards, to meet rapidly growing market needs and to improve the ITU-T standards and test specifications on IPTV. Based on these testing experiences, IPTV manufacturers showed interest in conducting conformance testing of their products to submit entries to populate the </w:t>
            </w:r>
            <w:hyperlink r:id="rId911" w:history="1">
              <w:r w:rsidRPr="004567E2">
                <w:rPr>
                  <w:rStyle w:val="Hyperlink"/>
                  <w:rFonts w:ascii="Times New Roman" w:hAnsi="Times New Roman" w:cs="Times New Roman"/>
                  <w:sz w:val="24"/>
                  <w:szCs w:val="24"/>
                </w:rPr>
                <w:t>ITU Product Conformity Database</w:t>
              </w:r>
            </w:hyperlink>
            <w:r w:rsidRPr="004567E2">
              <w:rPr>
                <w:rFonts w:ascii="Times New Roman" w:hAnsi="Times New Roman" w:cs="Times New Roman"/>
                <w:sz w:val="24"/>
                <w:szCs w:val="24"/>
              </w:rPr>
              <w:t xml:space="preserve">, after successfully passing the relevant tests. To meet this market demands, ITU-T SG16 started a new pilot project of conformity assessment against Recommendation ITU-T H.700 series, as listed on the relevant </w:t>
            </w:r>
            <w:hyperlink r:id="rId912" w:history="1">
              <w:r w:rsidRPr="004567E2">
                <w:rPr>
                  <w:rStyle w:val="Hyperlink"/>
                  <w:rFonts w:ascii="Times New Roman" w:hAnsi="Times New Roman" w:cs="Times New Roman"/>
                  <w:sz w:val="24"/>
                  <w:szCs w:val="24"/>
                </w:rPr>
                <w:t>webpage</w:t>
              </w:r>
            </w:hyperlink>
            <w:r w:rsidRPr="004567E2">
              <w:rPr>
                <w:rFonts w:ascii="Times New Roman" w:hAnsi="Times New Roman" w:cs="Times New Roman"/>
                <w:sz w:val="24"/>
                <w:szCs w:val="24"/>
              </w:rPr>
              <w:t xml:space="preserve"> on the C&amp;I portal and established an ITU IPTV testing team. The team and Keio University conducted conformance testing on </w:t>
            </w:r>
            <w:hyperlink r:id="rId913" w:history="1">
              <w:r w:rsidRPr="004567E2">
                <w:rPr>
                  <w:rStyle w:val="Hyperlink"/>
                  <w:rFonts w:ascii="Times New Roman" w:hAnsi="Times New Roman" w:cs="Times New Roman"/>
                  <w:sz w:val="24"/>
                  <w:szCs w:val="24"/>
                </w:rPr>
                <w:t>ITU-T H.721</w:t>
              </w:r>
            </w:hyperlink>
            <w:r w:rsidRPr="004567E2">
              <w:rPr>
                <w:rFonts w:ascii="Times New Roman" w:hAnsi="Times New Roman" w:cs="Times New Roman"/>
                <w:sz w:val="24"/>
                <w:szCs w:val="24"/>
              </w:rPr>
              <w:t xml:space="preserve"> “IPTV terminal devices: Basic model” using </w:t>
            </w:r>
            <w:hyperlink r:id="rId914" w:history="1">
              <w:r w:rsidRPr="004567E2">
                <w:rPr>
                  <w:rStyle w:val="Hyperlink"/>
                  <w:rFonts w:ascii="Times New Roman" w:hAnsi="Times New Roman" w:cs="Times New Roman"/>
                  <w:sz w:val="24"/>
                  <w:szCs w:val="24"/>
                </w:rPr>
                <w:t>HSTP-CONF H721 – Conformance testing specification for ITU-T H.721</w:t>
              </w:r>
            </w:hyperlink>
            <w:r w:rsidRPr="004567E2">
              <w:rPr>
                <w:rFonts w:ascii="Times New Roman" w:hAnsi="Times New Roman" w:cs="Times New Roman"/>
                <w:sz w:val="24"/>
                <w:szCs w:val="24"/>
              </w:rPr>
              <w:t xml:space="preserve"> on 17 January 2017, Geneva, and </w:t>
            </w:r>
            <w:hyperlink r:id="rId915" w:history="1">
              <w:r w:rsidRPr="004567E2">
                <w:rPr>
                  <w:rStyle w:val="Hyperlink"/>
                  <w:rFonts w:ascii="Times New Roman" w:hAnsi="Times New Roman" w:cs="Times New Roman"/>
                  <w:sz w:val="24"/>
                  <w:szCs w:val="24"/>
                </w:rPr>
                <w:t>ITU-T H.702</w:t>
              </w:r>
            </w:hyperlink>
            <w:r w:rsidRPr="004567E2">
              <w:rPr>
                <w:rFonts w:ascii="Times New Roman" w:hAnsi="Times New Roman" w:cs="Times New Roman"/>
                <w:sz w:val="24"/>
                <w:szCs w:val="24"/>
              </w:rPr>
              <w:t xml:space="preserve"> “Accessibility profiles for IPTV systems” using </w:t>
            </w:r>
            <w:hyperlink r:id="rId916" w:history="1">
              <w:r w:rsidRPr="004567E2">
                <w:rPr>
                  <w:rStyle w:val="Hyperlink"/>
                  <w:rFonts w:ascii="Times New Roman" w:hAnsi="Times New Roman" w:cs="Times New Roman"/>
                  <w:sz w:val="24"/>
                  <w:szCs w:val="24"/>
                </w:rPr>
                <w:t>HSTP-CONF-H702 - Conformance testing specification for H.702</w:t>
              </w:r>
            </w:hyperlink>
            <w:r w:rsidRPr="004567E2">
              <w:rPr>
                <w:rFonts w:ascii="Times New Roman" w:hAnsi="Times New Roman" w:cs="Times New Roman"/>
                <w:sz w:val="24"/>
                <w:szCs w:val="24"/>
              </w:rPr>
              <w:t xml:space="preserve"> on 12 May 2017 in Geneva. The required tests were successfully conducted.</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C6,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9.4, 9.c</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T.1-7</w:t>
            </w:r>
          </w:p>
        </w:tc>
        <w:tc>
          <w:tcPr>
            <w:tcW w:w="756" w:type="dxa"/>
          </w:tcPr>
          <w:p w:rsidR="00A11163" w:rsidRPr="004567E2" w:rsidRDefault="00A11163" w:rsidP="00A11163">
            <w:pPr>
              <w:pStyle w:val="ListParagraph"/>
              <w:numPr>
                <w:ilvl w:val="0"/>
                <w:numId w:val="2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Hand-free terminal testing</w:t>
            </w:r>
          </w:p>
        </w:tc>
        <w:tc>
          <w:tcPr>
            <w:tcW w:w="8278"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lang w:val="nl-NL"/>
              </w:rPr>
              <w:t>Following the three ITU test events aimed at testing the performance of mobile phones’ narrowband and/or wideband communications with vehicle-mounted hands-free terminals which was held in May 2014, May 2016 and November 2016, ITU organized a roundtable on 10 March 2017 (</w:t>
            </w:r>
            <w:hyperlink r:id="rId917" w:history="1">
              <w:r w:rsidRPr="004567E2">
                <w:rPr>
                  <w:rStyle w:val="Hyperlink"/>
                  <w:rFonts w:ascii="Times New Roman" w:hAnsi="Times New Roman" w:cs="Times New Roman"/>
                  <w:sz w:val="24"/>
                  <w:szCs w:val="24"/>
                  <w:lang w:val="nl-NL"/>
                </w:rPr>
                <w:t>webpage</w:t>
              </w:r>
            </w:hyperlink>
            <w:r w:rsidRPr="004567E2">
              <w:rPr>
                <w:rFonts w:ascii="Times New Roman" w:hAnsi="Times New Roman" w:cs="Times New Roman"/>
                <w:sz w:val="24"/>
                <w:szCs w:val="24"/>
                <w:lang w:val="nl-NL"/>
              </w:rPr>
              <w:t>). At the event, automakers and mobile phone vendors discussed possible approaches to address such issues and tried to find a way how to improve the voice quality achieved by mobile phones when connected as gateways to car hands-free terminals.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9.4, 9.c, 11.2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T.2-1</w:t>
            </w:r>
          </w:p>
        </w:tc>
        <w:tc>
          <w:tcPr>
            <w:tcW w:w="756" w:type="dxa"/>
          </w:tcPr>
          <w:p w:rsidR="00A11163" w:rsidRPr="004567E2" w:rsidRDefault="00A11163" w:rsidP="00A11163">
            <w:pPr>
              <w:pStyle w:val="ListParagraph"/>
              <w:numPr>
                <w:ilvl w:val="0"/>
                <w:numId w:val="21"/>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BSG</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r w:rsidRPr="004567E2">
              <w:rPr>
                <w:rFonts w:ascii="Times New Roman" w:hAnsi="Times New Roman" w:cs="Times New Roman"/>
                <w:sz w:val="24"/>
                <w:szCs w:val="24"/>
              </w:rPr>
              <w:t>ITU-T is leading efforts to improve the capacity of developing countries to participate in the development and implementation of international ICT standards, using the vehicle provided by ITU’s Bridging the Standardization Gap (BSG) programme.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 C4, C10,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4.b, 10.2, 17.6</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T.2-1</w:t>
            </w:r>
          </w:p>
        </w:tc>
        <w:tc>
          <w:tcPr>
            <w:tcW w:w="756" w:type="dxa"/>
          </w:tcPr>
          <w:p w:rsidR="00A11163" w:rsidRPr="004567E2" w:rsidRDefault="00A11163" w:rsidP="00A11163">
            <w:pPr>
              <w:pStyle w:val="ListParagraph"/>
              <w:numPr>
                <w:ilvl w:val="0"/>
                <w:numId w:val="21"/>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BSG</w:t>
            </w:r>
          </w:p>
        </w:tc>
        <w:tc>
          <w:tcPr>
            <w:tcW w:w="8278"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Regional Groups within ITU-T Study Groups have proven effective mechanisms to assist in bridging the standardization gap by stimulating effective participation in ITU-T Study Groups and increasing the number and quality of contributions from developing countries that could eventually lead to standards. ITU-T now has 23 regional groups:</w:t>
            </w:r>
          </w:p>
          <w:p w:rsidR="00A11163" w:rsidRPr="004567E2" w:rsidRDefault="00A11163" w:rsidP="00A11163">
            <w:pPr>
              <w:pStyle w:val="ListParagraph"/>
              <w:numPr>
                <w:ilvl w:val="0"/>
                <w:numId w:val="6"/>
              </w:numPr>
              <w:tabs>
                <w:tab w:val="left" w:pos="1134"/>
                <w:tab w:val="left" w:pos="1871"/>
                <w:tab w:val="left" w:pos="2268"/>
              </w:tabs>
              <w:overflowPunct w:val="0"/>
              <w:autoSpaceDE w:val="0"/>
              <w:autoSpaceDN w:val="0"/>
              <w:adjustRightInd w:val="0"/>
              <w:contextualSpacing w:val="0"/>
              <w:textAlignment w:val="baseline"/>
              <w:rPr>
                <w:rFonts w:ascii="Times New Roman" w:hAnsi="Times New Roman" w:cs="Times New Roman"/>
                <w:sz w:val="24"/>
                <w:szCs w:val="24"/>
              </w:rPr>
            </w:pPr>
            <w:r w:rsidRPr="004567E2">
              <w:rPr>
                <w:rFonts w:ascii="Times New Roman" w:hAnsi="Times New Roman" w:cs="Times New Roman"/>
                <w:sz w:val="24"/>
                <w:szCs w:val="24"/>
              </w:rPr>
              <w:t>Eight for Africa (Study Groups 2, 3, 5, 12, 11, 13, 17, and 20)</w:t>
            </w:r>
          </w:p>
          <w:p w:rsidR="00A11163" w:rsidRPr="004567E2" w:rsidRDefault="00A11163" w:rsidP="00A11163">
            <w:pPr>
              <w:pStyle w:val="ListParagraph"/>
              <w:numPr>
                <w:ilvl w:val="0"/>
                <w:numId w:val="6"/>
              </w:numPr>
              <w:tabs>
                <w:tab w:val="left" w:pos="1134"/>
                <w:tab w:val="left" w:pos="1871"/>
                <w:tab w:val="left" w:pos="2268"/>
              </w:tabs>
              <w:overflowPunct w:val="0"/>
              <w:autoSpaceDE w:val="0"/>
              <w:autoSpaceDN w:val="0"/>
              <w:adjustRightInd w:val="0"/>
              <w:contextualSpacing w:val="0"/>
              <w:textAlignment w:val="baseline"/>
              <w:rPr>
                <w:rFonts w:ascii="Times New Roman" w:hAnsi="Times New Roman" w:cs="Times New Roman"/>
                <w:sz w:val="24"/>
                <w:szCs w:val="24"/>
              </w:rPr>
            </w:pPr>
            <w:r w:rsidRPr="004567E2">
              <w:rPr>
                <w:rFonts w:ascii="Times New Roman" w:hAnsi="Times New Roman" w:cs="Times New Roman"/>
                <w:sz w:val="24"/>
                <w:szCs w:val="24"/>
              </w:rPr>
              <w:t>Four for the Americas (Study Groups 2, 3, 5, and 20)</w:t>
            </w:r>
          </w:p>
          <w:p w:rsidR="00A11163" w:rsidRPr="004567E2" w:rsidRDefault="00A11163" w:rsidP="00A11163">
            <w:pPr>
              <w:pStyle w:val="ListParagraph"/>
              <w:numPr>
                <w:ilvl w:val="0"/>
                <w:numId w:val="6"/>
              </w:numPr>
              <w:tabs>
                <w:tab w:val="left" w:pos="1134"/>
                <w:tab w:val="left" w:pos="1871"/>
                <w:tab w:val="left" w:pos="2268"/>
              </w:tabs>
              <w:overflowPunct w:val="0"/>
              <w:autoSpaceDE w:val="0"/>
              <w:autoSpaceDN w:val="0"/>
              <w:adjustRightInd w:val="0"/>
              <w:contextualSpacing w:val="0"/>
              <w:textAlignment w:val="baseline"/>
              <w:rPr>
                <w:rFonts w:ascii="Times New Roman" w:hAnsi="Times New Roman" w:cs="Times New Roman"/>
                <w:sz w:val="24"/>
                <w:szCs w:val="24"/>
              </w:rPr>
            </w:pPr>
            <w:r w:rsidRPr="004567E2">
              <w:rPr>
                <w:rFonts w:ascii="Times New Roman" w:hAnsi="Times New Roman" w:cs="Times New Roman"/>
                <w:sz w:val="24"/>
                <w:szCs w:val="24"/>
              </w:rPr>
              <w:t>Five for the Arab States (Study Groups 2, 3, 5, 17, and 20)</w:t>
            </w:r>
          </w:p>
          <w:p w:rsidR="00A11163" w:rsidRPr="004567E2" w:rsidRDefault="00A11163" w:rsidP="00A11163">
            <w:pPr>
              <w:pStyle w:val="ListParagraph"/>
              <w:numPr>
                <w:ilvl w:val="0"/>
                <w:numId w:val="6"/>
              </w:numPr>
              <w:tabs>
                <w:tab w:val="left" w:pos="1134"/>
                <w:tab w:val="left" w:pos="1871"/>
                <w:tab w:val="left" w:pos="2268"/>
              </w:tabs>
              <w:overflowPunct w:val="0"/>
              <w:autoSpaceDE w:val="0"/>
              <w:autoSpaceDN w:val="0"/>
              <w:adjustRightInd w:val="0"/>
              <w:contextualSpacing w:val="0"/>
              <w:textAlignment w:val="baseline"/>
              <w:rPr>
                <w:rFonts w:ascii="Times New Roman" w:hAnsi="Times New Roman" w:cs="Times New Roman"/>
                <w:sz w:val="24"/>
                <w:szCs w:val="24"/>
              </w:rPr>
            </w:pPr>
            <w:r w:rsidRPr="004567E2">
              <w:rPr>
                <w:rFonts w:ascii="Times New Roman" w:hAnsi="Times New Roman" w:cs="Times New Roman"/>
                <w:sz w:val="24"/>
                <w:szCs w:val="24"/>
              </w:rPr>
              <w:t>Two for Asia and the Pacific (Study Groups 3 and 5)</w:t>
            </w:r>
          </w:p>
          <w:p w:rsidR="00A11163" w:rsidRPr="004567E2" w:rsidRDefault="00A11163" w:rsidP="00A11163">
            <w:pPr>
              <w:pStyle w:val="ListParagraph"/>
              <w:numPr>
                <w:ilvl w:val="0"/>
                <w:numId w:val="6"/>
              </w:numPr>
              <w:tabs>
                <w:tab w:val="left" w:pos="1134"/>
                <w:tab w:val="left" w:pos="1871"/>
                <w:tab w:val="left" w:pos="2268"/>
              </w:tabs>
              <w:overflowPunct w:val="0"/>
              <w:autoSpaceDE w:val="0"/>
              <w:autoSpaceDN w:val="0"/>
              <w:adjustRightInd w:val="0"/>
              <w:contextualSpacing w:val="0"/>
              <w:textAlignment w:val="baseline"/>
              <w:rPr>
                <w:rFonts w:ascii="Times New Roman" w:hAnsi="Times New Roman" w:cs="Times New Roman"/>
                <w:sz w:val="24"/>
                <w:szCs w:val="24"/>
              </w:rPr>
            </w:pPr>
            <w:r w:rsidRPr="004567E2">
              <w:rPr>
                <w:rFonts w:ascii="Times New Roman" w:hAnsi="Times New Roman" w:cs="Times New Roman"/>
                <w:sz w:val="24"/>
                <w:szCs w:val="24"/>
                <w:shd w:val="clear" w:color="auto" w:fill="FFFFFF"/>
              </w:rPr>
              <w:t xml:space="preserve">One for </w:t>
            </w:r>
            <w:r w:rsidRPr="004567E2">
              <w:rPr>
                <w:rFonts w:ascii="Times New Roman" w:hAnsi="Times New Roman" w:cs="Times New Roman"/>
                <w:sz w:val="24"/>
                <w:szCs w:val="24"/>
              </w:rPr>
              <w:t>Europe and the Mediterranean Basin (Study Group 3, not active)</w:t>
            </w:r>
          </w:p>
          <w:p w:rsidR="00A11163" w:rsidRPr="004567E2" w:rsidRDefault="00A11163" w:rsidP="00A11163">
            <w:pPr>
              <w:pStyle w:val="ListParagraph"/>
              <w:numPr>
                <w:ilvl w:val="0"/>
                <w:numId w:val="6"/>
              </w:numPr>
              <w:tabs>
                <w:tab w:val="left" w:pos="1134"/>
                <w:tab w:val="left" w:pos="1871"/>
                <w:tab w:val="left" w:pos="2268"/>
              </w:tabs>
              <w:overflowPunct w:val="0"/>
              <w:autoSpaceDE w:val="0"/>
              <w:autoSpaceDN w:val="0"/>
              <w:adjustRightInd w:val="0"/>
              <w:contextualSpacing w:val="0"/>
              <w:textAlignment w:val="baseline"/>
              <w:rPr>
                <w:rFonts w:ascii="Times New Roman" w:hAnsi="Times New Roman" w:cs="Times New Roman"/>
                <w:sz w:val="24"/>
                <w:szCs w:val="24"/>
              </w:rPr>
            </w:pPr>
            <w:r w:rsidRPr="004567E2">
              <w:rPr>
                <w:rFonts w:ascii="Times New Roman" w:hAnsi="Times New Roman" w:cs="Times New Roman"/>
                <w:sz w:val="24"/>
                <w:szCs w:val="24"/>
              </w:rPr>
              <w:t>One for Eastern Europe, Central Asia and Transcaucasia (Study Group 20).</w:t>
            </w:r>
          </w:p>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r w:rsidRPr="004567E2">
              <w:rPr>
                <w:rFonts w:ascii="Times New Roman" w:hAnsi="Times New Roman" w:cs="Times New Roman"/>
                <w:sz w:val="24"/>
                <w:szCs w:val="24"/>
              </w:rPr>
              <w:t>One for the Regional Commonwealth in the field of Communications / CIS region (RCC/CIS) (Study Group 3), one for RCC (Study Group 11).</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 C4, C10,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4.b, 10.2, 17.6</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Workshop</w:t>
            </w:r>
          </w:p>
        </w:tc>
        <w:tc>
          <w:tcPr>
            <w:tcW w:w="8278"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sz w:val="24"/>
                <w:szCs w:val="24"/>
              </w:rPr>
              <w:t xml:space="preserve">Network softwarization and slicing took centre stage at a </w:t>
            </w:r>
            <w:hyperlink r:id="rId918" w:history="1">
              <w:r w:rsidRPr="004567E2">
                <w:rPr>
                  <w:rStyle w:val="Hyperlink"/>
                  <w:rFonts w:ascii="Times New Roman" w:hAnsi="Times New Roman" w:cs="Times New Roman"/>
                  <w:sz w:val="24"/>
                  <w:szCs w:val="24"/>
                </w:rPr>
                <w:t>5G workshop and demo day</w:t>
              </w:r>
            </w:hyperlink>
            <w:r w:rsidRPr="004567E2">
              <w:rPr>
                <w:rFonts w:ascii="Times New Roman" w:hAnsi="Times New Roman" w:cs="Times New Roman"/>
                <w:color w:val="555555"/>
                <w:sz w:val="24"/>
                <w:szCs w:val="24"/>
              </w:rPr>
              <w:t xml:space="preserve"> </w:t>
            </w:r>
            <w:r w:rsidRPr="004567E2">
              <w:rPr>
                <w:rFonts w:ascii="Times New Roman" w:hAnsi="Times New Roman" w:cs="Times New Roman"/>
                <w:sz w:val="24"/>
                <w:szCs w:val="24"/>
              </w:rPr>
              <w:t>held in Geneva, 11 July 2017. The workshop brought together a diverse set of interests – standards bodies, industry associations, operators, manufacturers, and academic and research institutes – to discuss the networking innovations necessary to achieve the 5G vision. Network softwarization and slicing, underpinning deeply programmable networks able to be sliced into virtual networks with very specialized capabilities, will give networks the agility required to support the specific requirements of any particular 5G application. The ambitious performance targets of 5G systems and the wide variety of envisioned 5G applications will demand future networks to be agile all-around players able to perform a wide array of specialized functions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C2, C4, C6,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8.2, 9.c,</w:t>
            </w:r>
            <w:r w:rsidRPr="004567E2">
              <w:rPr>
                <w:rFonts w:ascii="Times New Roman" w:hAnsi="Times New Roman" w:cs="Times New Roman"/>
                <w:sz w:val="24"/>
                <w:szCs w:val="24"/>
              </w:rPr>
              <w:t xml:space="preserve"> 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Workshop</w:t>
            </w:r>
          </w:p>
        </w:tc>
        <w:tc>
          <w:tcPr>
            <w:tcW w:w="8278" w:type="dxa"/>
          </w:tcPr>
          <w:p w:rsidR="00A11163" w:rsidRPr="004567E2" w:rsidRDefault="007835EF" w:rsidP="00A11163">
            <w:pPr>
              <w:rPr>
                <w:rFonts w:ascii="Times New Roman" w:hAnsi="Times New Roman" w:cs="Times New Roman"/>
                <w:sz w:val="24"/>
                <w:szCs w:val="24"/>
              </w:rPr>
            </w:pPr>
            <w:hyperlink r:id="rId919" w:history="1">
              <w:r w:rsidR="00A11163" w:rsidRPr="004567E2">
                <w:rPr>
                  <w:rStyle w:val="Strong"/>
                  <w:rFonts w:ascii="Times New Roman" w:hAnsi="Times New Roman" w:cs="Times New Roman"/>
                  <w:b w:val="0"/>
                  <w:color w:val="0000FF"/>
                  <w:sz w:val="24"/>
                  <w:szCs w:val="24"/>
                  <w:u w:val="single"/>
                </w:rPr>
                <w:t>Third annual ITU IMT-2020/5G Workshop and Demo Day – 2018</w:t>
              </w:r>
            </w:hyperlink>
            <w:r w:rsidR="00A11163" w:rsidRPr="004567E2">
              <w:rPr>
                <w:rFonts w:ascii="Times New Roman" w:hAnsi="Times New Roman" w:cs="Times New Roman"/>
                <w:sz w:val="24"/>
                <w:szCs w:val="24"/>
              </w:rPr>
              <w:t>, Geneva, Switzerland, 18 July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C2, C4, C6,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8.2, 9.c,</w:t>
            </w:r>
            <w:r w:rsidRPr="004567E2">
              <w:rPr>
                <w:rFonts w:ascii="Times New Roman" w:hAnsi="Times New Roman" w:cs="Times New Roman"/>
                <w:sz w:val="24"/>
                <w:szCs w:val="24"/>
              </w:rPr>
              <w:t xml:space="preserve"> 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Workshop</w:t>
            </w:r>
          </w:p>
        </w:tc>
        <w:tc>
          <w:tcPr>
            <w:tcW w:w="8278"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sz w:val="24"/>
                <w:szCs w:val="24"/>
              </w:rPr>
              <w:t xml:space="preserve">The </w:t>
            </w:r>
            <w:hyperlink r:id="rId920" w:history="1">
              <w:r w:rsidRPr="004567E2">
                <w:rPr>
                  <w:rStyle w:val="Hyperlink"/>
                  <w:rFonts w:ascii="Times New Roman" w:hAnsi="Times New Roman" w:cs="Times New Roman"/>
                  <w:sz w:val="24"/>
                  <w:szCs w:val="24"/>
                </w:rPr>
                <w:t>Fifth SG13 Regional Workshop for Africa on "ITU-T Standardization Work on Future Networks: Towards a Better Future for Africa"</w:t>
              </w:r>
            </w:hyperlink>
            <w:r w:rsidRPr="004567E2">
              <w:rPr>
                <w:rStyle w:val="Strong"/>
                <w:rFonts w:ascii="Times New Roman" w:hAnsi="Times New Roman" w:cs="Times New Roman"/>
                <w:b w:val="0"/>
                <w:sz w:val="24"/>
                <w:szCs w:val="24"/>
              </w:rPr>
              <w:t xml:space="preserve">, organized in Cairo, Egypt, on 2-3 April 2017, </w:t>
            </w:r>
            <w:r w:rsidRPr="004567E2">
              <w:rPr>
                <w:rFonts w:ascii="Times New Roman" w:hAnsi="Times New Roman" w:cs="Times New Roman"/>
                <w:sz w:val="24"/>
                <w:szCs w:val="24"/>
              </w:rPr>
              <w:t>gave an overview of SG13 standardization work in areas of current high interest, such as IMT</w:t>
            </w:r>
            <w:r w:rsidRPr="004567E2">
              <w:rPr>
                <w:rFonts w:ascii="Times New Roman" w:hAnsi="Times New Roman" w:cs="Times New Roman"/>
                <w:sz w:val="24"/>
                <w:szCs w:val="24"/>
              </w:rPr>
              <w:noBreakHyphen/>
              <w:t>2020 network aspects, Trust in ICT Infrastructures and Services, SDN, cloud computing and Big Data. It further shared the main issues in African Countries related to the workshop's topics, raised awareness about the priorities of SG13 standardization in the current study period and presented Africa's involvement in ITU-T Standardization as well as user experiences from African countries. A co-located regional group meeting used the outcomes of the workshop to review and revise the standardization priorities for the continent.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C1, C4, C2,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8.2, 9.1, 9.c,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FIGI WS</w:t>
            </w:r>
          </w:p>
        </w:tc>
        <w:tc>
          <w:tcPr>
            <w:tcW w:w="8278"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sz w:val="24"/>
                <w:szCs w:val="24"/>
              </w:rPr>
              <w:t xml:space="preserve">The first </w:t>
            </w:r>
            <w:hyperlink r:id="rId921" w:tgtFrame="_blank" w:history="1">
              <w:r w:rsidRPr="004567E2">
                <w:rPr>
                  <w:rFonts w:ascii="Times New Roman" w:hAnsi="Times New Roman" w:cs="Times New Roman"/>
                  <w:color w:val="0071BC"/>
                  <w:sz w:val="24"/>
                  <w:szCs w:val="24"/>
                  <w:u w:val="single"/>
                </w:rPr>
                <w:t>FIGI Symposium</w:t>
              </w:r>
            </w:hyperlink>
            <w:r w:rsidRPr="004567E2">
              <w:rPr>
                <w:rFonts w:ascii="Times New Roman" w:hAnsi="Times New Roman" w:cs="Times New Roman"/>
                <w:color w:val="333333"/>
                <w:sz w:val="24"/>
                <w:szCs w:val="24"/>
              </w:rPr>
              <w:t xml:space="preserve"> </w:t>
            </w:r>
            <w:r w:rsidRPr="004567E2">
              <w:rPr>
                <w:rFonts w:ascii="Times New Roman" w:hAnsi="Times New Roman" w:cs="Times New Roman"/>
                <w:sz w:val="24"/>
                <w:szCs w:val="24"/>
              </w:rPr>
              <w:t>was organized by ITU on 29 November – 1 December 2017 in Bangalore, India and hosted by the Ministry of Communications, India. Three annual FIGI Symposium are planned between 2017-2020 in order to provide a forum for dialogue between regulators from telecom and financial services, DFS providers and all concerned stakeholders, and to share their experience and views on the main challenges to be addressed for scaling up DFS. Some 289 participants from different regions participated in the Symposium held in India. The event had a broad profile in terms of participants from different areas of expertise in DFS such as policymakers, financial sector regulators, telecom regulators, payment service providers, Fintechs, mobile network operators, banks, DFS providers, and academia.</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8.10, </w:t>
            </w:r>
            <w:r w:rsidRPr="004567E2">
              <w:rPr>
                <w:rFonts w:ascii="Times New Roman" w:hAnsi="Times New Roman" w:cs="Times New Roman"/>
                <w:sz w:val="24"/>
                <w:szCs w:val="24"/>
              </w:rPr>
              <w:t>9.1, 17.6, 17.16, 17.17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widowControl w:val="0"/>
              <w:rPr>
                <w:rFonts w:ascii="Times New Roman" w:hAnsi="Times New Roman" w:cs="Times New Roman"/>
                <w:sz w:val="24"/>
                <w:szCs w:val="24"/>
              </w:rPr>
            </w:pPr>
            <w:r w:rsidRPr="004567E2">
              <w:rPr>
                <w:rFonts w:ascii="Times New Roman" w:hAnsi="Times New Roman" w:cs="Times New Roman"/>
                <w:sz w:val="24"/>
                <w:szCs w:val="24"/>
              </w:rPr>
              <w:t xml:space="preserve">The </w:t>
            </w:r>
            <w:hyperlink r:id="rId922" w:history="1">
              <w:r w:rsidRPr="004567E2">
                <w:rPr>
                  <w:rStyle w:val="Hyperlink"/>
                  <w:rFonts w:ascii="Times New Roman" w:hAnsi="Times New Roman" w:cs="Times New Roman"/>
                  <w:sz w:val="24"/>
                  <w:szCs w:val="24"/>
                </w:rPr>
                <w:t>ITU Workshop on Security Aspects of Intelligent Transport Systems</w:t>
              </w:r>
            </w:hyperlink>
            <w:r w:rsidRPr="004567E2">
              <w:rPr>
                <w:rFonts w:ascii="Times New Roman" w:hAnsi="Times New Roman" w:cs="Times New Roman"/>
                <w:color w:val="555555"/>
                <w:sz w:val="24"/>
                <w:szCs w:val="24"/>
              </w:rPr>
              <w:t xml:space="preserve"> </w:t>
            </w:r>
            <w:r w:rsidRPr="004567E2">
              <w:rPr>
                <w:rFonts w:ascii="Times New Roman" w:hAnsi="Times New Roman" w:cs="Times New Roman"/>
                <w:sz w:val="24"/>
                <w:szCs w:val="24"/>
              </w:rPr>
              <w:t xml:space="preserve">in Geneva, 28 August 2017, discussed the security requirements of all actors in the </w:t>
            </w:r>
            <w:r w:rsidRPr="004567E2">
              <w:rPr>
                <w:rFonts w:ascii="Times New Roman" w:hAnsi="Times New Roman" w:cs="Times New Roman"/>
                <w:sz w:val="24"/>
                <w:szCs w:val="24"/>
              </w:rPr>
              <w:lastRenderedPageBreak/>
              <w:t xml:space="preserve">value chain underlying intelligent transport systems (ITS), encouraging an ecosystem view of the ITS security challenge. The event analyzed a variety of high-profile ITS security breaches, using these case studies to demonstrate a ream of security vulnerabilities in the ITS environment. One of the workshop’s key priorities was to consider where standards collaboration could be improved among </w:t>
            </w:r>
            <w:hyperlink r:id="rId923" w:history="1">
              <w:r w:rsidRPr="004567E2">
                <w:rPr>
                  <w:rFonts w:ascii="Times New Roman" w:hAnsi="Times New Roman" w:cs="Times New Roman"/>
                  <w:color w:val="2E74B5" w:themeColor="accent1" w:themeShade="BF"/>
                  <w:sz w:val="24"/>
                  <w:szCs w:val="24"/>
                </w:rPr>
                <w:t>SAE</w:t>
              </w:r>
            </w:hyperlink>
            <w:r w:rsidRPr="004567E2">
              <w:rPr>
                <w:rFonts w:ascii="Times New Roman" w:hAnsi="Times New Roman" w:cs="Times New Roman"/>
                <w:sz w:val="24"/>
                <w:szCs w:val="24"/>
              </w:rPr>
              <w:t xml:space="preserve">, </w:t>
            </w:r>
            <w:hyperlink r:id="rId924" w:history="1">
              <w:r w:rsidRPr="004567E2">
                <w:rPr>
                  <w:rFonts w:ascii="Times New Roman" w:hAnsi="Times New Roman" w:cs="Times New Roman"/>
                  <w:color w:val="2E74B5" w:themeColor="accent1" w:themeShade="BF"/>
                  <w:sz w:val="24"/>
                  <w:szCs w:val="24"/>
                </w:rPr>
                <w:t>ISO</w:t>
              </w:r>
            </w:hyperlink>
            <w:r w:rsidRPr="004567E2">
              <w:rPr>
                <w:rFonts w:ascii="Times New Roman" w:hAnsi="Times New Roman" w:cs="Times New Roman"/>
                <w:sz w:val="24"/>
                <w:szCs w:val="24"/>
              </w:rPr>
              <w:t xml:space="preserve"> and ITU’s standardization arm (</w:t>
            </w:r>
            <w:hyperlink r:id="rId925" w:history="1">
              <w:r w:rsidRPr="004567E2">
                <w:rPr>
                  <w:rFonts w:ascii="Times New Roman" w:hAnsi="Times New Roman" w:cs="Times New Roman"/>
                  <w:color w:val="2E74B5" w:themeColor="accent1" w:themeShade="BF"/>
                  <w:sz w:val="24"/>
                  <w:szCs w:val="24"/>
                </w:rPr>
                <w:t>ITU-T</w:t>
              </w:r>
            </w:hyperlink>
            <w:r w:rsidRPr="004567E2">
              <w:rPr>
                <w:rFonts w:ascii="Times New Roman" w:hAnsi="Times New Roman" w:cs="Times New Roman"/>
                <w:sz w:val="24"/>
                <w:szCs w:val="24"/>
              </w:rPr>
              <w:t xml:space="preserve">), as well as where ITU could enhance its productive collaboration with </w:t>
            </w:r>
            <w:hyperlink r:id="rId926" w:history="1">
              <w:r w:rsidRPr="004567E2">
                <w:rPr>
                  <w:rFonts w:ascii="Times New Roman" w:hAnsi="Times New Roman" w:cs="Times New Roman"/>
                  <w:sz w:val="24"/>
                  <w:szCs w:val="24"/>
                </w:rPr>
                <w:t>UNECE WP.29</w:t>
              </w:r>
            </w:hyperlink>
            <w:r w:rsidRPr="004567E2">
              <w:rPr>
                <w:rFonts w:ascii="Times New Roman" w:hAnsi="Times New Roman" w:cs="Times New Roman"/>
                <w:sz w:val="24"/>
                <w:szCs w:val="24"/>
              </w:rPr>
              <w:t>, the body responsible for global vehicle regulations.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 xml:space="preserve">C2, C4, </w:t>
            </w:r>
            <w:r w:rsidRPr="004567E2">
              <w:rPr>
                <w:rFonts w:ascii="Times New Roman" w:hAnsi="Times New Roman" w:cs="Times New Roman"/>
                <w:bCs/>
                <w:color w:val="000000"/>
                <w:sz w:val="24"/>
                <w:szCs w:val="24"/>
              </w:rPr>
              <w:lastRenderedPageBreak/>
              <w:t>C5,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 xml:space="preserve">9.1, 11.2, </w:t>
            </w:r>
            <w:r w:rsidRPr="004567E2">
              <w:rPr>
                <w:rFonts w:ascii="Times New Roman" w:hAnsi="Times New Roman" w:cs="Times New Roman"/>
                <w:bCs/>
                <w:color w:val="000000"/>
                <w:sz w:val="24"/>
                <w:szCs w:val="24"/>
              </w:rPr>
              <w:lastRenderedPageBreak/>
              <w:t xml:space="preserve">17.6, </w:t>
            </w:r>
            <w:r w:rsidRPr="004567E2">
              <w:rPr>
                <w:rFonts w:ascii="Times New Roman" w:hAnsi="Times New Roman" w:cs="Times New Roman"/>
                <w:sz w:val="24"/>
                <w:szCs w:val="24"/>
              </w:rPr>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widowControl w:val="0"/>
              <w:rPr>
                <w:rFonts w:ascii="Times New Roman" w:hAnsi="Times New Roman" w:cs="Times New Roman"/>
                <w:sz w:val="24"/>
                <w:szCs w:val="24"/>
              </w:rPr>
            </w:pPr>
            <w:r w:rsidRPr="004567E2">
              <w:rPr>
                <w:rFonts w:ascii="Times New Roman" w:hAnsi="Times New Roman" w:cs="Times New Roman"/>
                <w:sz w:val="24"/>
                <w:szCs w:val="24"/>
              </w:rPr>
              <w:t>A joint BDT and TSB Workshop on "</w:t>
            </w:r>
            <w:hyperlink r:id="rId927" w:history="1">
              <w:r w:rsidRPr="004567E2">
                <w:rPr>
                  <w:rStyle w:val="Hyperlink"/>
                  <w:rFonts w:ascii="Times New Roman" w:hAnsi="Times New Roman" w:cs="Times New Roman"/>
                  <w:sz w:val="24"/>
                  <w:szCs w:val="24"/>
                </w:rPr>
                <w:t>The Future of Cable TV</w:t>
              </w:r>
            </w:hyperlink>
            <w:r w:rsidRPr="004567E2">
              <w:rPr>
                <w:rFonts w:ascii="Times New Roman" w:hAnsi="Times New Roman" w:cs="Times New Roman"/>
                <w:sz w:val="24"/>
                <w:szCs w:val="24"/>
              </w:rPr>
              <w:t>" was held from 25-26 January 2018, in Geneva, Switzerland.</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r w:rsidRPr="004567E2">
              <w:rPr>
                <w:rFonts w:ascii="Times New Roman" w:hAnsi="Times New Roman" w:cs="Times New Roman"/>
                <w:sz w:val="24"/>
                <w:szCs w:val="24"/>
              </w:rPr>
              <w:t>, 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 T.2-3</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 Kaleidoscope</w:t>
            </w:r>
          </w:p>
        </w:tc>
        <w:tc>
          <w:tcPr>
            <w:tcW w:w="8278" w:type="dxa"/>
          </w:tcPr>
          <w:p w:rsidR="00A11163" w:rsidRPr="004567E2" w:rsidRDefault="007835EF" w:rsidP="00A11163">
            <w:pPr>
              <w:rPr>
                <w:rFonts w:ascii="Times New Roman" w:hAnsi="Times New Roman" w:cs="Times New Roman"/>
                <w:bCs/>
                <w:color w:val="000000"/>
                <w:sz w:val="24"/>
                <w:szCs w:val="24"/>
              </w:rPr>
            </w:pPr>
            <w:hyperlink r:id="rId928" w:history="1">
              <w:r w:rsidR="00A11163" w:rsidRPr="004567E2">
                <w:rPr>
                  <w:rStyle w:val="Hyperlink"/>
                  <w:rFonts w:ascii="Times New Roman" w:hAnsi="Times New Roman" w:cs="Times New Roman"/>
                  <w:sz w:val="24"/>
                  <w:szCs w:val="24"/>
                </w:rPr>
                <w:t>Kaleidoscope 2016: ICTs for a Sustainable World</w:t>
              </w:r>
            </w:hyperlink>
            <w:r w:rsidR="00A11163" w:rsidRPr="004567E2">
              <w:rPr>
                <w:rFonts w:ascii="Times New Roman" w:hAnsi="Times New Roman" w:cs="Times New Roman"/>
                <w:sz w:val="24"/>
                <w:szCs w:val="24"/>
              </w:rPr>
              <w:t xml:space="preserve"> (Bangkok, Thailand, 14-16 November 2016) was the eighth in a series of peer-reviewed academic conferences organized by ITU to bring together a wide range of views from universities, industry and research institutions. The aim of the Kaleidoscope conferences was to identify emerging developments in information and communication technologies (ICTs) and, in particular, areas in need of international standards to aid the healthy development of the Information Society.</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9.5</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 T.2-3</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 Kaleidoscope</w:t>
            </w:r>
          </w:p>
        </w:tc>
        <w:tc>
          <w:tcPr>
            <w:tcW w:w="8278" w:type="dxa"/>
          </w:tcPr>
          <w:p w:rsidR="00A11163" w:rsidRPr="004567E2" w:rsidRDefault="007835EF" w:rsidP="00A11163">
            <w:pPr>
              <w:rPr>
                <w:rStyle w:val="Hyperlink"/>
                <w:rFonts w:ascii="Times New Roman" w:hAnsi="Times New Roman" w:cs="Times New Roman"/>
                <w:sz w:val="24"/>
                <w:szCs w:val="24"/>
              </w:rPr>
            </w:pPr>
            <w:hyperlink r:id="rId929" w:history="1">
              <w:r w:rsidR="00A11163" w:rsidRPr="004567E2">
                <w:rPr>
                  <w:rStyle w:val="Hyperlink"/>
                  <w:rFonts w:ascii="Times New Roman" w:hAnsi="Times New Roman" w:cs="Times New Roman"/>
                  <w:sz w:val="24"/>
                  <w:szCs w:val="24"/>
                </w:rPr>
                <w:t>Kaleidoscope 2017</w:t>
              </w:r>
            </w:hyperlink>
            <w:r w:rsidR="00A11163" w:rsidRPr="004567E2">
              <w:rPr>
                <w:rFonts w:ascii="Times New Roman" w:hAnsi="Times New Roman" w:cs="Times New Roman"/>
                <w:sz w:val="24"/>
                <w:szCs w:val="24"/>
              </w:rPr>
              <w:t xml:space="preserve"> - "Challenges for a data-driven society", Nanjing, China, 27-29 November 2017.</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C4,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9.5</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 T.2-3</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 Kaleidoscope</w:t>
            </w:r>
          </w:p>
        </w:tc>
        <w:tc>
          <w:tcPr>
            <w:tcW w:w="8278" w:type="dxa"/>
          </w:tcPr>
          <w:p w:rsidR="00A11163" w:rsidRPr="004567E2" w:rsidRDefault="007835EF" w:rsidP="00A11163">
            <w:pPr>
              <w:rPr>
                <w:rFonts w:ascii="Times New Roman" w:hAnsi="Times New Roman" w:cs="Times New Roman"/>
                <w:sz w:val="24"/>
                <w:szCs w:val="24"/>
              </w:rPr>
            </w:pPr>
            <w:hyperlink r:id="rId930" w:history="1">
              <w:r w:rsidR="00A11163" w:rsidRPr="004567E2">
                <w:rPr>
                  <w:rStyle w:val="Strong"/>
                  <w:rFonts w:ascii="Times New Roman" w:hAnsi="Times New Roman" w:cs="Times New Roman"/>
                  <w:b w:val="0"/>
                  <w:color w:val="0000FF"/>
                  <w:sz w:val="24"/>
                  <w:szCs w:val="24"/>
                  <w:u w:val="single"/>
                </w:rPr>
                <w:t>ITU Kaleidoscope conference on Machine learning for a 5G future</w:t>
              </w:r>
            </w:hyperlink>
            <w:r w:rsidR="00A11163" w:rsidRPr="004567E2">
              <w:rPr>
                <w:rFonts w:ascii="Times New Roman" w:hAnsi="Times New Roman" w:cs="Times New Roman"/>
                <w:sz w:val="24"/>
                <w:szCs w:val="24"/>
              </w:rPr>
              <w:t xml:space="preserve">, </w:t>
            </w:r>
            <w:r w:rsidR="00A11163" w:rsidRPr="004567E2">
              <w:rPr>
                <w:rStyle w:val="ms-rtethemeforecolor-2-0"/>
                <w:rFonts w:ascii="Times New Roman" w:hAnsi="Times New Roman" w:cs="Times New Roman"/>
                <w:sz w:val="24"/>
                <w:szCs w:val="24"/>
              </w:rPr>
              <w:t xml:space="preserve">Santa Fe, Argentina, </w:t>
            </w:r>
            <w:r w:rsidR="00A11163" w:rsidRPr="004567E2">
              <w:rPr>
                <w:rFonts w:ascii="Times New Roman" w:hAnsi="Times New Roman" w:cs="Times New Roman"/>
                <w:sz w:val="24"/>
                <w:szCs w:val="24"/>
                <w:shd w:val="clear" w:color="auto" w:fill="FFFFFF"/>
              </w:rPr>
              <w:t>26-28 November 2018</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C4, C6,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9.5</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 xml:space="preserve">An ITU Workshop on </w:t>
            </w:r>
            <w:hyperlink r:id="rId931" w:history="1">
              <w:r w:rsidRPr="004567E2">
                <w:rPr>
                  <w:rStyle w:val="Hyperlink"/>
                  <w:rFonts w:ascii="Times New Roman" w:hAnsi="Times New Roman" w:cs="Times New Roman"/>
                  <w:bCs/>
                  <w:sz w:val="24"/>
                  <w:szCs w:val="24"/>
                </w:rPr>
                <w:t>"Control plane of IMT-2020 and emerging networks. Current issues and the way forward"</w:t>
              </w:r>
            </w:hyperlink>
            <w:r w:rsidRPr="004567E2">
              <w:rPr>
                <w:rFonts w:ascii="Times New Roman" w:hAnsi="Times New Roman" w:cs="Times New Roman"/>
                <w:bCs/>
                <w:sz w:val="24"/>
                <w:szCs w:val="24"/>
              </w:rPr>
              <w:t xml:space="preserve"> was held on 15 November 2017, in Geneva, Switzerland which showed the importance to develop related protocols for control </w:t>
            </w:r>
            <w:r w:rsidRPr="004567E2">
              <w:rPr>
                <w:rFonts w:ascii="Times New Roman" w:hAnsi="Times New Roman" w:cs="Times New Roman"/>
                <w:bCs/>
                <w:sz w:val="24"/>
                <w:szCs w:val="24"/>
              </w:rPr>
              <w:lastRenderedPageBreak/>
              <w:t>plane of IMT-2020 and emerging networks dedicated to different scenarios, using SDN, NFV, and network slicing as the fundamental supporting technologies. Operators, vendors and testing laboratories presented their practice and perspectives on SDN/NFV related emerging technologies and provided very valuable experiences, while research works on new emerging technologies such as IoT IMS, AI, ICN, Fog/Edge Computing, etc. were introduced.</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C4, C11</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 xml:space="preserve">9.c, </w:t>
            </w:r>
            <w:r w:rsidRPr="004567E2">
              <w:rPr>
                <w:rFonts w:ascii="Times New Roman" w:hAnsi="Times New Roman" w:cs="Times New Roman"/>
                <w:sz w:val="24"/>
                <w:szCs w:val="24"/>
              </w:rPr>
              <w:t xml:space="preserve">9.1, 17.6, </w:t>
            </w:r>
            <w:r w:rsidRPr="004567E2">
              <w:rPr>
                <w:rFonts w:ascii="Times New Roman" w:hAnsi="Times New Roman" w:cs="Times New Roman"/>
                <w:sz w:val="24"/>
                <w:szCs w:val="24"/>
              </w:rPr>
              <w:lastRenderedPageBreak/>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sz w:val="24"/>
                <w:szCs w:val="24"/>
              </w:rPr>
              <w:t xml:space="preserve">The </w:t>
            </w:r>
            <w:hyperlink r:id="rId932" w:history="1">
              <w:r w:rsidRPr="004567E2">
                <w:rPr>
                  <w:rStyle w:val="Strong"/>
                  <w:rFonts w:ascii="Times New Roman" w:hAnsi="Times New Roman" w:cs="Times New Roman"/>
                  <w:b w:val="0"/>
                  <w:color w:val="0000FF"/>
                  <w:sz w:val="24"/>
                  <w:szCs w:val="24"/>
                  <w:u w:val="single"/>
                </w:rPr>
                <w:t>ITU Workshop on Performance, QoS and QoE for Multimedia Services</w:t>
              </w:r>
            </w:hyperlink>
            <w:r w:rsidRPr="004567E2">
              <w:rPr>
                <w:rFonts w:ascii="Times New Roman" w:hAnsi="Times New Roman" w:cs="Times New Roman"/>
                <w:sz w:val="24"/>
                <w:szCs w:val="24"/>
              </w:rPr>
              <w:t>, Johannesburg, South Africa,</w:t>
            </w:r>
            <w:r w:rsidRPr="004567E2" w:rsidDel="00D3433D">
              <w:rPr>
                <w:rFonts w:ascii="Times New Roman" w:hAnsi="Times New Roman" w:cs="Times New Roman"/>
                <w:sz w:val="24"/>
                <w:szCs w:val="24"/>
              </w:rPr>
              <w:t xml:space="preserve"> </w:t>
            </w:r>
            <w:r w:rsidRPr="004567E2">
              <w:rPr>
                <w:rFonts w:ascii="Times New Roman" w:hAnsi="Times New Roman" w:cs="Times New Roman"/>
                <w:sz w:val="24"/>
                <w:szCs w:val="24"/>
              </w:rPr>
              <w:t xml:space="preserve">24-25 July 2017 discussed </w:t>
            </w:r>
            <w:r w:rsidRPr="004567E2">
              <w:rPr>
                <w:rStyle w:val="Strong"/>
                <w:rFonts w:ascii="Times New Roman" w:hAnsi="Times New Roman" w:cs="Times New Roman"/>
                <w:b w:val="0"/>
                <w:sz w:val="24"/>
                <w:szCs w:val="24"/>
              </w:rPr>
              <w:t>KPIs and methods for measuring and evaluating the QoS/QoE in LTE and LTE-Advanced networks, QoS/QoE regulatory and policy aspects, network performance and QoS requirements for 5G networks, and ITU-T activities on QoS/QoE.</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 xml:space="preserve">9.c, </w:t>
            </w:r>
            <w:r w:rsidRPr="004567E2">
              <w:rPr>
                <w:rFonts w:ascii="Times New Roman" w:hAnsi="Times New Roman" w:cs="Times New Roman"/>
                <w:sz w:val="24"/>
                <w:szCs w:val="24"/>
              </w:rPr>
              <w:t>9.1, 17.6, 17.16, 17.17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rPr>
                <w:rFonts w:ascii="Times New Roman" w:hAnsi="Times New Roman" w:cs="Times New Roman"/>
                <w:bCs/>
                <w:sz w:val="24"/>
                <w:szCs w:val="24"/>
              </w:rPr>
            </w:pPr>
            <w:r w:rsidRPr="004567E2">
              <w:rPr>
                <w:rStyle w:val="Strong"/>
                <w:rFonts w:ascii="Times New Roman" w:hAnsi="Times New Roman" w:cs="Times New Roman"/>
                <w:b w:val="0"/>
                <w:sz w:val="24"/>
                <w:szCs w:val="24"/>
              </w:rPr>
              <w:t xml:space="preserve">The </w:t>
            </w:r>
            <w:hyperlink r:id="rId933" w:history="1">
              <w:r w:rsidRPr="004567E2">
                <w:rPr>
                  <w:rStyle w:val="Hyperlink"/>
                  <w:rFonts w:ascii="Times New Roman" w:hAnsi="Times New Roman" w:cs="Times New Roman"/>
                  <w:sz w:val="24"/>
                  <w:szCs w:val="24"/>
                </w:rPr>
                <w:t>ITU Workshop on Telecommunications Service Quality</w:t>
              </w:r>
            </w:hyperlink>
            <w:r w:rsidRPr="004567E2">
              <w:rPr>
                <w:rStyle w:val="Strong"/>
                <w:rFonts w:ascii="Times New Roman" w:hAnsi="Times New Roman" w:cs="Times New Roman"/>
                <w:b w:val="0"/>
                <w:sz w:val="24"/>
                <w:szCs w:val="24"/>
              </w:rPr>
              <w:t>, Rio de Janeiro, Brazil, 27</w:t>
            </w:r>
            <w:r w:rsidRPr="004567E2">
              <w:rPr>
                <w:rStyle w:val="Strong"/>
                <w:rFonts w:ascii="Times New Roman" w:hAnsi="Times New Roman" w:cs="Times New Roman"/>
                <w:b w:val="0"/>
                <w:sz w:val="24"/>
                <w:szCs w:val="24"/>
              </w:rPr>
              <w:noBreakHyphen/>
              <w:t>29 November 2017 offered a platform to discuss current trends in telecommunications service quality, including regulatory frameworks, customer behavior and strategies for ensuring quality of service and quality of experience, for all stakeholders involved.</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 xml:space="preserve">9.c, </w:t>
            </w:r>
            <w:r w:rsidRPr="004567E2">
              <w:rPr>
                <w:rFonts w:ascii="Times New Roman" w:hAnsi="Times New Roman" w:cs="Times New Roman"/>
                <w:sz w:val="24"/>
                <w:szCs w:val="24"/>
              </w:rPr>
              <w:t>9.1, 17.6, 17.16, 17.17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rPr>
                <w:rStyle w:val="Strong"/>
                <w:rFonts w:ascii="Times New Roman" w:hAnsi="Times New Roman" w:cs="Times New Roman"/>
                <w:b w:val="0"/>
                <w:sz w:val="24"/>
                <w:szCs w:val="24"/>
              </w:rPr>
            </w:pPr>
            <w:r w:rsidRPr="004567E2">
              <w:rPr>
                <w:rFonts w:ascii="Times New Roman" w:hAnsi="Times New Roman" w:cs="Times New Roman"/>
                <w:bCs/>
                <w:sz w:val="24"/>
                <w:szCs w:val="24"/>
              </w:rPr>
              <w:t xml:space="preserve">An </w:t>
            </w:r>
            <w:hyperlink r:id="rId934" w:history="1">
              <w:r w:rsidRPr="004567E2">
                <w:rPr>
                  <w:rStyle w:val="Strong"/>
                  <w:rFonts w:ascii="Times New Roman" w:hAnsi="Times New Roman" w:cs="Times New Roman"/>
                  <w:b w:val="0"/>
                  <w:color w:val="0000CC"/>
                  <w:sz w:val="24"/>
                  <w:szCs w:val="24"/>
                  <w:u w:val="single"/>
                </w:rPr>
                <w:t>ITU Regional Workshop for CIS countries on "Internet of Things (IoT) and future networks"</w:t>
              </w:r>
            </w:hyperlink>
            <w:r w:rsidRPr="004567E2">
              <w:rPr>
                <w:rFonts w:ascii="Times New Roman" w:hAnsi="Times New Roman" w:cs="Times New Roman"/>
                <w:bCs/>
                <w:sz w:val="24"/>
                <w:szCs w:val="24"/>
              </w:rPr>
              <w:t>, organized in St. Petersburg, Russia, on 19-20 June 2017, shared experiences in the field of the Internet of Things development and considered international standardization of the Internet of Things (IoT), perspectives of implementing IoT technologies in telecom networks in the CIS region, future telecom networks development in the region, and international standardization of the technologies of the future networks and its applications.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 xml:space="preserve">9.c, 11.2, </w:t>
            </w:r>
            <w:r w:rsidRPr="004567E2">
              <w:rPr>
                <w:rFonts w:ascii="Times New Roman" w:hAnsi="Times New Roman" w:cs="Times New Roman"/>
                <w:sz w:val="24"/>
                <w:szCs w:val="24"/>
              </w:rPr>
              <w:t>9.1, 17.6, 17.16, 17.17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 xml:space="preserve">ITU-T organized the </w:t>
            </w:r>
            <w:hyperlink r:id="rId935" w:history="1">
              <w:r w:rsidRPr="004567E2">
                <w:rPr>
                  <w:rStyle w:val="Hyperlink"/>
                  <w:rFonts w:ascii="Times New Roman" w:hAnsi="Times New Roman" w:cs="Times New Roman"/>
                  <w:sz w:val="24"/>
                  <w:szCs w:val="24"/>
                </w:rPr>
                <w:t>Forum on “Exploring the Potential of Artificial Intelligence and Internet of Things”</w:t>
              </w:r>
            </w:hyperlink>
            <w:r w:rsidRPr="004567E2">
              <w:rPr>
                <w:rFonts w:ascii="Times New Roman" w:hAnsi="Times New Roman" w:cs="Times New Roman"/>
                <w:bCs/>
                <w:sz w:val="24"/>
                <w:szCs w:val="24"/>
              </w:rPr>
              <w:t xml:space="preserve"> on 6 May 2018 in Cairo, Egypt. The Forum provided a platform to discuss AI technologies and IoT data in smart cities. It also explored the transformative and enabling potential of AI in keeping with the expanding IoT ecosystem. The Forum was followed by a Bridging the Standardization Gap Session on IoT and provided a platform to present the oneM2M technical </w:t>
            </w:r>
            <w:r w:rsidRPr="004567E2">
              <w:rPr>
                <w:rFonts w:ascii="Times New Roman" w:hAnsi="Times New Roman" w:cs="Times New Roman"/>
                <w:bCs/>
                <w:sz w:val="24"/>
                <w:szCs w:val="24"/>
              </w:rPr>
              <w:lastRenderedPageBreak/>
              <w:t>specifications which have been transposed into ITU-T Recommendations with a view to Bridging the Standardization Gap. The Bridging the Standardization Gap Session on IoT had a special focus on IoT Interoperability. The Bridging the Standardization Gap Session on IoT was organized by ITU together with TTA (Korea, Rep of.) and NTRA (Egypt), and was kindly supported by the Ministry of Science and ICT (Korea, Rep of.).</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C4, C11</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 xml:space="preserve">9.c, </w:t>
            </w:r>
            <w:r w:rsidRPr="004567E2">
              <w:rPr>
                <w:rFonts w:ascii="Times New Roman" w:hAnsi="Times New Roman" w:cs="Times New Roman"/>
                <w:sz w:val="24"/>
                <w:szCs w:val="24"/>
              </w:rPr>
              <w:t>9.1, 17.6, 17.16, 17.17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lang w:val="en-GB"/>
              </w:rPr>
            </w:pPr>
            <w:r w:rsidRPr="004567E2">
              <w:rPr>
                <w:rFonts w:ascii="Times New Roman" w:hAnsi="Times New Roman" w:cs="Times New Roman"/>
                <w:sz w:val="24"/>
                <w:szCs w:val="24"/>
              </w:rPr>
              <w:t xml:space="preserve">An ITU Regional Forum on </w:t>
            </w:r>
            <w:hyperlink r:id="rId936" w:history="1">
              <w:r w:rsidRPr="004567E2">
                <w:rPr>
                  <w:rStyle w:val="Hyperlink"/>
                  <w:rFonts w:ascii="Times New Roman" w:hAnsi="Times New Roman" w:cs="Times New Roman"/>
                  <w:sz w:val="24"/>
                  <w:szCs w:val="24"/>
                </w:rPr>
                <w:t>“Internet of Things, Telecommunication Networks and Big Data as Basic Infrastructure for Digital Economy”</w:t>
              </w:r>
            </w:hyperlink>
            <w:r w:rsidRPr="004567E2">
              <w:rPr>
                <w:rFonts w:ascii="Times New Roman" w:hAnsi="Times New Roman" w:cs="Times New Roman"/>
                <w:sz w:val="24"/>
                <w:szCs w:val="24"/>
              </w:rPr>
              <w:t xml:space="preserve"> was organized on 4-6 June 2018 in St. Petersburg, Russian Federation.</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 xml:space="preserve">9.c, </w:t>
            </w:r>
            <w:r w:rsidRPr="004567E2">
              <w:rPr>
                <w:rFonts w:ascii="Times New Roman" w:hAnsi="Times New Roman" w:cs="Times New Roman"/>
                <w:sz w:val="24"/>
                <w:szCs w:val="24"/>
              </w:rPr>
              <w:t>9.1, 17.6, 17.16, 17.17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r w:rsidRPr="004567E2">
              <w:rPr>
                <w:rFonts w:ascii="Times New Roman" w:hAnsi="Times New Roman" w:cs="Times New Roman"/>
                <w:sz w:val="24"/>
                <w:szCs w:val="24"/>
              </w:rPr>
              <w:t>ITU-T SG11 organized a Workshop on "</w:t>
            </w:r>
            <w:hyperlink r:id="rId937" w:history="1">
              <w:r w:rsidRPr="004567E2">
                <w:rPr>
                  <w:rStyle w:val="Hyperlink"/>
                  <w:rFonts w:ascii="Times New Roman" w:hAnsi="Times New Roman" w:cs="Times New Roman"/>
                  <w:sz w:val="24"/>
                  <w:szCs w:val="24"/>
                </w:rPr>
                <w:t>Global approaches on combating counterfeiting and stolen ICT devices</w:t>
              </w:r>
            </w:hyperlink>
            <w:r w:rsidRPr="004567E2">
              <w:rPr>
                <w:rFonts w:ascii="Times New Roman" w:hAnsi="Times New Roman" w:cs="Times New Roman"/>
                <w:sz w:val="24"/>
                <w:szCs w:val="24"/>
              </w:rPr>
              <w:t>" which took place in Geneva on 23 July 2018. One of the aims of the Workshop was to focus on concerns raised by ITU Member States during Council-18 on tampering with unique telecommunication device identifiers used in ICT devices such as IMEI. Two demo-zones were deployed at the Workshop to demonstrate technical solutions on combating counterfeiting and stolen ICT devices, which basic concepts were presented during the Workshop, as follows: IMEI-DOA solution to combat counterfeiting ICT devices, Rostelecom; and Combat Mobile Device Theft with blockchain-based Global IMEI Storage and Services Innovation, Deutsche Telekom, SAP and Camelot ITLab.</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C4, C5, C11</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 xml:space="preserve">9.c, </w:t>
            </w:r>
            <w:r w:rsidRPr="004567E2">
              <w:rPr>
                <w:rFonts w:ascii="Times New Roman" w:hAnsi="Times New Roman" w:cs="Times New Roman"/>
                <w:sz w:val="24"/>
                <w:szCs w:val="24"/>
              </w:rPr>
              <w:t>9.1, 17.6, 17.16, 17.17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r w:rsidRPr="004567E2">
              <w:rPr>
                <w:rFonts w:ascii="Times New Roman" w:hAnsi="Times New Roman" w:cs="Times New Roman"/>
                <w:sz w:val="24"/>
                <w:szCs w:val="24"/>
              </w:rPr>
              <w:t xml:space="preserve">An </w:t>
            </w:r>
            <w:hyperlink r:id="rId938" w:history="1">
              <w:r w:rsidRPr="004567E2">
                <w:rPr>
                  <w:rStyle w:val="Strong"/>
                  <w:rFonts w:ascii="Times New Roman" w:hAnsi="Times New Roman" w:cs="Times New Roman"/>
                  <w:b w:val="0"/>
                  <w:color w:val="0000FF"/>
                  <w:sz w:val="24"/>
                  <w:szCs w:val="24"/>
                  <w:u w:val="single"/>
                </w:rPr>
                <w:t>ITU Workshop on Performance, QoS and QoE for Multimedia Services</w:t>
              </w:r>
            </w:hyperlink>
            <w:r w:rsidRPr="004567E2">
              <w:rPr>
                <w:rFonts w:ascii="Times New Roman" w:hAnsi="Times New Roman" w:cs="Times New Roman"/>
                <w:b/>
                <w:sz w:val="24"/>
                <w:szCs w:val="24"/>
              </w:rPr>
              <w:t>,</w:t>
            </w:r>
            <w:r w:rsidRPr="004567E2">
              <w:rPr>
                <w:rFonts w:ascii="Times New Roman" w:hAnsi="Times New Roman" w:cs="Times New Roman"/>
                <w:sz w:val="24"/>
                <w:szCs w:val="24"/>
              </w:rPr>
              <w:t xml:space="preserve"> organized on 24-25 July 2017, in Johannesburg, South Africa, discussed </w:t>
            </w:r>
            <w:r w:rsidRPr="004567E2">
              <w:rPr>
                <w:rStyle w:val="Strong"/>
                <w:rFonts w:ascii="Times New Roman" w:hAnsi="Times New Roman" w:cs="Times New Roman"/>
                <w:b w:val="0"/>
                <w:sz w:val="24"/>
                <w:szCs w:val="24"/>
              </w:rPr>
              <w:t>KPIs and methods for measuring and evaluating the QoS/QoE in LTE and LTE-Advanced networks, QoS/QoE regulatory and policy aspects, network performance and QoS requirements for 5G networks, and ITU-T activities on QoS/QoE.</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9.c, </w:t>
            </w:r>
            <w:r w:rsidRPr="004567E2">
              <w:rPr>
                <w:rFonts w:ascii="Times New Roman" w:hAnsi="Times New Roman" w:cs="Times New Roman"/>
                <w:sz w:val="24"/>
                <w:szCs w:val="24"/>
              </w:rPr>
              <w:t>9.1, 17.6, 17.16, 17.17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r w:rsidRPr="004567E2">
              <w:rPr>
                <w:rFonts w:ascii="Times New Roman" w:hAnsi="Times New Roman" w:cs="Times New Roman"/>
                <w:sz w:val="24"/>
                <w:szCs w:val="24"/>
              </w:rPr>
              <w:t xml:space="preserve">An </w:t>
            </w:r>
            <w:hyperlink r:id="rId939" w:history="1">
              <w:r w:rsidRPr="004567E2">
                <w:rPr>
                  <w:rStyle w:val="Strong"/>
                  <w:rFonts w:ascii="Times New Roman" w:hAnsi="Times New Roman" w:cs="Times New Roman"/>
                  <w:b w:val="0"/>
                  <w:color w:val="0000FF"/>
                  <w:sz w:val="24"/>
                  <w:szCs w:val="24"/>
                  <w:u w:val="single"/>
                </w:rPr>
                <w:t>ITU Workshop on “TV and content delivery on Integrated Broadband Cable Networks</w:t>
              </w:r>
            </w:hyperlink>
            <w:r w:rsidRPr="004567E2">
              <w:rPr>
                <w:rStyle w:val="Strong"/>
                <w:rFonts w:ascii="Times New Roman" w:hAnsi="Times New Roman" w:cs="Times New Roman"/>
                <w:b w:val="0"/>
                <w:color w:val="0000FF"/>
                <w:sz w:val="24"/>
                <w:szCs w:val="24"/>
                <w:u w:val="single"/>
              </w:rPr>
              <w:t>”</w:t>
            </w:r>
            <w:r w:rsidRPr="004567E2">
              <w:rPr>
                <w:rFonts w:ascii="Times New Roman" w:hAnsi="Times New Roman" w:cs="Times New Roman"/>
                <w:sz w:val="24"/>
                <w:szCs w:val="24"/>
              </w:rPr>
              <w:t xml:space="preserve">, organized in Hangzhou, China, on 26 May 2017, considered the latest </w:t>
            </w:r>
            <w:r w:rsidRPr="004567E2">
              <w:rPr>
                <w:rFonts w:ascii="Times New Roman" w:hAnsi="Times New Roman" w:cs="Times New Roman"/>
                <w:sz w:val="24"/>
                <w:szCs w:val="24"/>
              </w:rPr>
              <w:lastRenderedPageBreak/>
              <w:t>trends in cable television business and technologies, integrated services (TV, content and associated applications) delivery mechanisms and/or networks, innovative types of TV services, experiences and technologies, e.g. AR, VR, 3D, UHDTV (4k/8k), smart home, IoT), integrated smart terminals and/or related software, platforms for converged services for integrated broadband broadcast networks, and planning, implementation and deployment of cable television systems, networks and services, particularly for developing countries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 xml:space="preserve">C1, C2, </w:t>
            </w:r>
            <w:r w:rsidRPr="004567E2">
              <w:rPr>
                <w:rFonts w:ascii="Times New Roman" w:hAnsi="Times New Roman" w:cs="Times New Roman"/>
                <w:bCs/>
                <w:color w:val="000000"/>
                <w:sz w:val="24"/>
                <w:szCs w:val="24"/>
              </w:rPr>
              <w:lastRenderedPageBreak/>
              <w:t>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 xml:space="preserve">9.c, </w:t>
            </w:r>
            <w:r w:rsidRPr="004567E2">
              <w:rPr>
                <w:rFonts w:ascii="Times New Roman" w:hAnsi="Times New Roman" w:cs="Times New Roman"/>
                <w:sz w:val="24"/>
                <w:szCs w:val="24"/>
              </w:rPr>
              <w:t xml:space="preserve">9.1, </w:t>
            </w:r>
            <w:r w:rsidRPr="004567E2">
              <w:rPr>
                <w:rFonts w:ascii="Times New Roman" w:hAnsi="Times New Roman" w:cs="Times New Roman"/>
                <w:sz w:val="24"/>
                <w:szCs w:val="24"/>
              </w:rPr>
              <w:lastRenderedPageBreak/>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BSG training</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r w:rsidRPr="004567E2">
              <w:rPr>
                <w:rFonts w:ascii="Times New Roman" w:hAnsi="Times New Roman" w:cs="Times New Roman"/>
                <w:sz w:val="24"/>
                <w:szCs w:val="24"/>
              </w:rPr>
              <w:t>BSG Hands-On Study Group Effectiveness Training - ITU-T's new training program focusing on development of practical skills to maximize the effectiveness of developing countries' participation in ITU-T standardization process. These training sessions cover topics including strategies for participation in study groups, drafting contributions to meetings, presenting proposals, collaborative working methods and building consensus.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 C4, C10</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4.b, 10.2, 17.6</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iCs/>
                <w:sz w:val="24"/>
                <w:szCs w:val="24"/>
              </w:rPr>
              <w:t>Open events and symposia in developing countries raise awareness of ITU-T services, and encourage peer-learning and best-practices in standards-based innovation.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 C4, C10,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4.b, 10.2, 17.6, </w:t>
            </w:r>
            <w:r w:rsidRPr="004567E2">
              <w:rPr>
                <w:rFonts w:ascii="Times New Roman" w:hAnsi="Times New Roman" w:cs="Times New Roman"/>
                <w:sz w:val="24"/>
                <w:szCs w:val="24"/>
              </w:rPr>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 Reg. Stand. Forums</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r w:rsidRPr="004567E2">
              <w:rPr>
                <w:rFonts w:ascii="Times New Roman" w:hAnsi="Times New Roman" w:cs="Times New Roman"/>
                <w:sz w:val="24"/>
                <w:szCs w:val="24"/>
              </w:rPr>
              <w:t>Organization of TSB-BDT joint annual Regional ICT Standardization Forums with the objective of engaging more developing countries in ITU-T work. The Forums are being held for developing countries or in developing countries and provide tutorials on ITU-T working methods, as well as more technically-oriented events covering themes including human exposure to EMF, quality of service, smart water management, international mobile roaming, mobile financial services, digital identity and big data.</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 C4, C10,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10.2, 17.6, </w:t>
            </w:r>
            <w:r w:rsidRPr="004567E2">
              <w:rPr>
                <w:rFonts w:ascii="Times New Roman" w:hAnsi="Times New Roman" w:cs="Times New Roman"/>
                <w:sz w:val="24"/>
                <w:szCs w:val="24"/>
              </w:rPr>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 Forums</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r w:rsidRPr="004567E2">
              <w:rPr>
                <w:rFonts w:ascii="Times New Roman" w:hAnsi="Times New Roman" w:cs="Times New Roman"/>
                <w:sz w:val="24"/>
                <w:szCs w:val="24"/>
              </w:rPr>
              <w:t>TSB-BDT joint Regional Economic and Financial Forums (since 1990's) are held every year</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C1, C2, C4, C4, </w:t>
            </w:r>
            <w:r w:rsidRPr="004567E2">
              <w:rPr>
                <w:rFonts w:ascii="Times New Roman" w:hAnsi="Times New Roman" w:cs="Times New Roman"/>
                <w:bCs/>
                <w:color w:val="000000"/>
                <w:sz w:val="24"/>
                <w:szCs w:val="24"/>
              </w:rPr>
              <w:lastRenderedPageBreak/>
              <w:t>C10,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 xml:space="preserve">10.2, 8.10, 9.1, </w:t>
            </w:r>
            <w:r w:rsidRPr="004567E2">
              <w:rPr>
                <w:rFonts w:ascii="Times New Roman" w:hAnsi="Times New Roman" w:cs="Times New Roman"/>
                <w:sz w:val="24"/>
                <w:szCs w:val="24"/>
              </w:rPr>
              <w:t xml:space="preserve">17.6, </w:t>
            </w:r>
            <w:r w:rsidRPr="004567E2">
              <w:rPr>
                <w:rFonts w:ascii="Times New Roman" w:hAnsi="Times New Roman" w:cs="Times New Roman"/>
                <w:sz w:val="24"/>
                <w:szCs w:val="24"/>
              </w:rPr>
              <w:lastRenderedPageBreak/>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CTO group</w:t>
            </w:r>
          </w:p>
        </w:tc>
        <w:tc>
          <w:tcPr>
            <w:tcW w:w="8278" w:type="dxa"/>
          </w:tcPr>
          <w:p w:rsidR="00A11163" w:rsidRPr="004567E2" w:rsidRDefault="00A11163" w:rsidP="00A11163">
            <w:pPr>
              <w:pStyle w:val="normalWSIS"/>
              <w:numPr>
                <w:ilvl w:val="0"/>
                <w:numId w:val="0"/>
              </w:numPr>
              <w:spacing w:before="0" w:after="0"/>
              <w:jc w:val="left"/>
              <w:rPr>
                <w:rStyle w:val="Hyperlink"/>
                <w:rFonts w:ascii="Times New Roman" w:hAnsi="Times New Roman" w:cs="Times New Roman"/>
                <w:iCs/>
                <w:sz w:val="24"/>
                <w:szCs w:val="24"/>
              </w:rPr>
            </w:pPr>
            <w:r w:rsidRPr="004567E2">
              <w:rPr>
                <w:rFonts w:ascii="Times New Roman" w:hAnsi="Times New Roman" w:cs="Times New Roman"/>
                <w:bCs/>
                <w:iCs/>
                <w:sz w:val="24"/>
                <w:szCs w:val="24"/>
              </w:rPr>
              <w:t>Chief Technology Officer meetings bring together industry executives to highlight their business priorities and supporting standardization strategies.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9.1, 17.6</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 WS</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r w:rsidRPr="004567E2">
              <w:rPr>
                <w:rFonts w:ascii="Times New Roman" w:hAnsi="Times New Roman" w:cs="Times New Roman"/>
                <w:bCs/>
                <w:sz w:val="24"/>
                <w:szCs w:val="24"/>
              </w:rPr>
              <w:t>ITU</w:t>
            </w:r>
            <w:r w:rsidRPr="004567E2">
              <w:rPr>
                <w:rFonts w:ascii="Times New Roman" w:hAnsi="Times New Roman" w:cs="Times New Roman"/>
                <w:sz w:val="24"/>
                <w:szCs w:val="24"/>
              </w:rPr>
              <w:t xml:space="preserve"> and the Ministry of Modernization, Argentina, together with UNESCO, ECLAC, UNIDO, CITEL, COMTELCA and Asiet organized the </w:t>
            </w:r>
            <w:hyperlink r:id="rId940" w:history="1">
              <w:r w:rsidRPr="004567E2">
                <w:rPr>
                  <w:rStyle w:val="Hyperlink"/>
                  <w:rFonts w:ascii="Times New Roman" w:hAnsi="Times New Roman" w:cs="Times New Roman"/>
                  <w:sz w:val="24"/>
                  <w:szCs w:val="24"/>
                </w:rPr>
                <w:t>1st Forum on Artificial Intelligence and the Internet of Things in Smart Sustainable Cities in Latin America</w:t>
              </w:r>
            </w:hyperlink>
            <w:r w:rsidRPr="004567E2">
              <w:rPr>
                <w:rFonts w:ascii="Times New Roman" w:hAnsi="Times New Roman" w:cs="Times New Roman"/>
                <w:sz w:val="24"/>
                <w:szCs w:val="24"/>
              </w:rPr>
              <w:t xml:space="preserve">, from 29 to 30 May 2018 in Buenos Aires, Argentina. The Forum concluded with the Buenos Aires declaration, </w:t>
            </w:r>
            <w:r w:rsidRPr="004567E2">
              <w:rPr>
                <w:rFonts w:ascii="Times New Roman" w:hAnsi="Times New Roman" w:cs="Times New Roman"/>
                <w:sz w:val="24"/>
                <w:szCs w:val="24"/>
                <w:lang w:val="en-GB"/>
              </w:rPr>
              <w:t xml:space="preserve">which captures Latin America’s commitment to Smart Sustainable Cities and aims to raise awareness on the role of Artificial Intelligence and Internet of things. The Declaration is available in </w:t>
            </w:r>
            <w:hyperlink r:id="rId941" w:history="1">
              <w:r w:rsidRPr="004567E2">
                <w:rPr>
                  <w:rStyle w:val="Hyperlink"/>
                  <w:rFonts w:ascii="Times New Roman" w:hAnsi="Times New Roman" w:cs="Times New Roman"/>
                  <w:sz w:val="24"/>
                  <w:szCs w:val="24"/>
                  <w:lang w:val="en-GB"/>
                </w:rPr>
                <w:t>English</w:t>
              </w:r>
            </w:hyperlink>
            <w:r w:rsidRPr="004567E2">
              <w:rPr>
                <w:rFonts w:ascii="Times New Roman" w:hAnsi="Times New Roman" w:cs="Times New Roman"/>
                <w:sz w:val="24"/>
                <w:szCs w:val="24"/>
                <w:lang w:val="en-GB"/>
              </w:rPr>
              <w:t xml:space="preserve"> and </w:t>
            </w:r>
            <w:hyperlink r:id="rId942" w:history="1">
              <w:r w:rsidRPr="004567E2">
                <w:rPr>
                  <w:rStyle w:val="Hyperlink"/>
                  <w:rFonts w:ascii="Times New Roman" w:hAnsi="Times New Roman" w:cs="Times New Roman"/>
                  <w:sz w:val="24"/>
                  <w:szCs w:val="24"/>
                  <w:lang w:val="en-GB"/>
                </w:rPr>
                <w:t>Spanish</w:t>
              </w:r>
            </w:hyperlink>
            <w:r w:rsidRPr="004567E2">
              <w:rPr>
                <w:rFonts w:ascii="Times New Roman" w:hAnsi="Times New Roman" w:cs="Times New Roman"/>
                <w:sz w:val="24"/>
                <w:szCs w:val="24"/>
                <w:lang w:val="en-GB"/>
              </w:rPr>
              <w:t xml:space="preserve">. Additionally, an information session on </w:t>
            </w:r>
            <w:hyperlink r:id="rId943" w:history="1">
              <w:r w:rsidRPr="004567E2">
                <w:rPr>
                  <w:rStyle w:val="Hyperlink"/>
                  <w:rFonts w:ascii="Times New Roman" w:hAnsi="Times New Roman" w:cs="Times New Roman"/>
                  <w:sz w:val="24"/>
                  <w:szCs w:val="24"/>
                </w:rPr>
                <w:t>“Exploring the Role of Small Medium Enterprises (SMEs) in Linking AI and IoT in Smart Cities”</w:t>
              </w:r>
            </w:hyperlink>
            <w:r w:rsidRPr="004567E2">
              <w:rPr>
                <w:rFonts w:ascii="Times New Roman" w:hAnsi="Times New Roman" w:cs="Times New Roman"/>
                <w:sz w:val="24"/>
                <w:szCs w:val="24"/>
                <w:lang w:val="en-GB"/>
              </w:rPr>
              <w:t xml:space="preserve"> was organized on 30 May 2018, which provided a great platform to encourage SMEs to join the work of ITU.</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C7, 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9.1, 11.2,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 WS</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r w:rsidRPr="004567E2">
              <w:rPr>
                <w:rFonts w:ascii="Times New Roman" w:hAnsi="Times New Roman" w:cs="Times New Roman"/>
                <w:sz w:val="24"/>
                <w:szCs w:val="24"/>
              </w:rPr>
              <w:t xml:space="preserve">The </w:t>
            </w:r>
            <w:hyperlink r:id="rId944" w:history="1">
              <w:r w:rsidRPr="004567E2">
                <w:rPr>
                  <w:rStyle w:val="Hyperlink"/>
                  <w:rFonts w:ascii="Times New Roman" w:hAnsi="Times New Roman" w:cs="Times New Roman"/>
                  <w:sz w:val="24"/>
                  <w:szCs w:val="24"/>
                </w:rPr>
                <w:t>IoT Week 2018</w:t>
              </w:r>
            </w:hyperlink>
            <w:r w:rsidRPr="004567E2">
              <w:rPr>
                <w:rFonts w:ascii="Times New Roman" w:hAnsi="Times New Roman" w:cs="Times New Roman"/>
                <w:sz w:val="24"/>
                <w:szCs w:val="24"/>
              </w:rPr>
              <w:t xml:space="preserve"> was held from 4-7 June 2018 in Bilbao, Spain. The IoT Week 2018 explored new territories of the IoT including topics on emerging IoT research and development, 5G IoT convergence, AI and IoT, smart farming and food security, among others.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C7, 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9.1, 11.2,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 WS</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r w:rsidRPr="004567E2">
              <w:rPr>
                <w:rFonts w:ascii="Times New Roman" w:hAnsi="Times New Roman" w:cs="Times New Roman"/>
                <w:sz w:val="24"/>
                <w:szCs w:val="24"/>
                <w:lang w:val="en-GB"/>
              </w:rPr>
              <w:t xml:space="preserve">The </w:t>
            </w:r>
            <w:hyperlink r:id="rId945" w:history="1">
              <w:r w:rsidRPr="004567E2">
                <w:rPr>
                  <w:rStyle w:val="Hyperlink"/>
                  <w:rFonts w:ascii="Times New Roman" w:hAnsi="Times New Roman" w:cs="Times New Roman"/>
                  <w:sz w:val="24"/>
                  <w:szCs w:val="24"/>
                  <w:lang w:val="en-GB"/>
                </w:rPr>
                <w:t>4</w:t>
              </w:r>
              <w:r w:rsidRPr="004567E2">
                <w:rPr>
                  <w:rStyle w:val="Hyperlink"/>
                  <w:rFonts w:ascii="Times New Roman" w:hAnsi="Times New Roman" w:cs="Times New Roman"/>
                  <w:sz w:val="24"/>
                  <w:szCs w:val="24"/>
                  <w:vertAlign w:val="superscript"/>
                </w:rPr>
                <w:t>th</w:t>
              </w:r>
              <w:r w:rsidRPr="004567E2">
                <w:rPr>
                  <w:rStyle w:val="Hyperlink"/>
                  <w:rFonts w:ascii="Times New Roman" w:hAnsi="Times New Roman" w:cs="Times New Roman"/>
                  <w:sz w:val="24"/>
                  <w:szCs w:val="24"/>
                  <w:lang w:val="en-GB"/>
                </w:rPr>
                <w:t xml:space="preserve"> Asia-Pacific Regional Forum on Smart Sustainable Cities and e-Government 2018</w:t>
              </w:r>
            </w:hyperlink>
            <w:r w:rsidRPr="004567E2">
              <w:rPr>
                <w:rFonts w:ascii="Times New Roman" w:hAnsi="Times New Roman" w:cs="Times New Roman"/>
                <w:sz w:val="24"/>
                <w:szCs w:val="24"/>
                <w:lang w:val="en-GB"/>
              </w:rPr>
              <w:t xml:space="preserve"> was held from 4 to 6 July 2018 in Thanh Hoa city, Viet Nam.</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C7, 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9.1, 11.2,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 WS</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r w:rsidRPr="004567E2">
              <w:rPr>
                <w:rFonts w:ascii="Times New Roman" w:hAnsi="Times New Roman" w:cs="Times New Roman"/>
                <w:sz w:val="24"/>
                <w:szCs w:val="24"/>
              </w:rPr>
              <w:t xml:space="preserve">A </w:t>
            </w:r>
            <w:hyperlink r:id="rId946" w:history="1">
              <w:r w:rsidRPr="004567E2">
                <w:rPr>
                  <w:rStyle w:val="Hyperlink"/>
                  <w:rFonts w:ascii="Times New Roman" w:hAnsi="Times New Roman" w:cs="Times New Roman"/>
                  <w:sz w:val="24"/>
                  <w:szCs w:val="24"/>
                </w:rPr>
                <w:t>Forum on “Artificial Intelligence and Internet of Things in the development of Smart Sustainable Cities”</w:t>
              </w:r>
            </w:hyperlink>
            <w:r w:rsidRPr="004567E2">
              <w:rPr>
                <w:rFonts w:ascii="Times New Roman" w:hAnsi="Times New Roman" w:cs="Times New Roman"/>
                <w:sz w:val="24"/>
                <w:szCs w:val="24"/>
              </w:rPr>
              <w:t xml:space="preserve"> was held on 11 April 2018 in Zanzibar, Tanzania during the 8</w:t>
            </w:r>
            <w:r w:rsidRPr="004567E2">
              <w:rPr>
                <w:rFonts w:ascii="Times New Roman" w:hAnsi="Times New Roman" w:cs="Times New Roman"/>
                <w:sz w:val="24"/>
                <w:szCs w:val="24"/>
                <w:vertAlign w:val="superscript"/>
              </w:rPr>
              <w:t>th</w:t>
            </w:r>
            <w:r w:rsidRPr="004567E2">
              <w:rPr>
                <w:rFonts w:ascii="Times New Roman" w:hAnsi="Times New Roman" w:cs="Times New Roman"/>
                <w:sz w:val="24"/>
                <w:szCs w:val="24"/>
              </w:rPr>
              <w:t xml:space="preserve"> Green Standards Week.</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C7, 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9.1, 11.2, </w:t>
            </w:r>
            <w:r w:rsidRPr="004567E2">
              <w:rPr>
                <w:rFonts w:ascii="Times New Roman" w:hAnsi="Times New Roman" w:cs="Times New Roman"/>
                <w:sz w:val="24"/>
                <w:szCs w:val="24"/>
              </w:rPr>
              <w:t xml:space="preserve">17.6, </w:t>
            </w:r>
            <w:r w:rsidRPr="004567E2">
              <w:rPr>
                <w:rFonts w:ascii="Times New Roman" w:hAnsi="Times New Roman" w:cs="Times New Roman"/>
                <w:sz w:val="24"/>
                <w:szCs w:val="24"/>
              </w:rPr>
              <w:lastRenderedPageBreak/>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 WS</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r w:rsidRPr="004567E2">
              <w:rPr>
                <w:rFonts w:ascii="Times New Roman" w:hAnsi="Times New Roman" w:cs="Times New Roman"/>
                <w:sz w:val="24"/>
                <w:szCs w:val="24"/>
              </w:rPr>
              <w:t xml:space="preserve">ITU-T together with the Ministry of Digital Policy, Telecommunications and Media, Greece, the United Nations Economic Commission for Europe (UNECE), the United Nations Educational, Scientific and Cultural Organization (UNESCO) and and the Permanent Mission of the United Arab Emirates to the United Nations New York organized a side event on </w:t>
            </w:r>
            <w:hyperlink r:id="rId947" w:history="1">
              <w:r w:rsidRPr="004567E2">
                <w:rPr>
                  <w:rStyle w:val="Hyperlink"/>
                  <w:rFonts w:ascii="Times New Roman" w:hAnsi="Times New Roman" w:cs="Times New Roman"/>
                  <w:sz w:val="24"/>
                  <w:szCs w:val="24"/>
                </w:rPr>
                <w:t>“Shaping Smarter and More Sustainable Cities: Striving for Sustainable Development Goals”</w:t>
              </w:r>
            </w:hyperlink>
            <w:r w:rsidRPr="004567E2">
              <w:rPr>
                <w:rFonts w:ascii="Times New Roman" w:hAnsi="Times New Roman" w:cs="Times New Roman"/>
                <w:sz w:val="24"/>
                <w:szCs w:val="24"/>
              </w:rPr>
              <w:t xml:space="preserve"> during the High Level Political Forum 2018 in New York. The side event took place on 12 July 2018 and provided a platform to debate the impact of frontier technologies such as AI, blockchain and IoT on cities, present the international KPIs for SSC, developed by U4SSC and discuss the opportunities and challenges faced in shaping smart and sustainable cities at the local level. The outcomes of this side event will be presented by Greece at the ITU Plenipotentiary 2018 that will be held in Dubai from 29 October to 16 November 2018</w:t>
            </w:r>
            <w:r w:rsidRPr="004567E2">
              <w:rPr>
                <w:rFonts w:ascii="Times New Roman" w:hAnsi="Times New Roman" w:cs="Times New Roman"/>
                <w:sz w:val="24"/>
                <w:szCs w:val="24"/>
                <w:lang w:val="en-GB"/>
              </w:rPr>
              <w: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C7, 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9.1, 11.2,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 WS</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r w:rsidRPr="004567E2">
              <w:rPr>
                <w:rFonts w:ascii="Times New Roman" w:hAnsi="Times New Roman" w:cs="Times New Roman"/>
                <w:sz w:val="24"/>
                <w:szCs w:val="24"/>
              </w:rPr>
              <w:t xml:space="preserve">The </w:t>
            </w:r>
            <w:hyperlink r:id="rId948" w:history="1">
              <w:r w:rsidRPr="004567E2">
                <w:rPr>
                  <w:rStyle w:val="Hyperlink"/>
                  <w:rFonts w:ascii="Times New Roman" w:hAnsi="Times New Roman" w:cs="Times New Roman"/>
                  <w:bCs/>
                  <w:sz w:val="24"/>
                  <w:szCs w:val="24"/>
                </w:rPr>
                <w:t>7</w:t>
              </w:r>
              <w:r w:rsidRPr="004567E2">
                <w:rPr>
                  <w:rStyle w:val="Hyperlink"/>
                  <w:rFonts w:ascii="Times New Roman" w:hAnsi="Times New Roman" w:cs="Times New Roman"/>
                  <w:bCs/>
                  <w:sz w:val="24"/>
                  <w:szCs w:val="24"/>
                  <w:vertAlign w:val="superscript"/>
                </w:rPr>
                <w:t>th</w:t>
              </w:r>
              <w:r w:rsidRPr="004567E2">
                <w:rPr>
                  <w:rStyle w:val="Hyperlink"/>
                  <w:rFonts w:ascii="Times New Roman" w:hAnsi="Times New Roman" w:cs="Times New Roman"/>
                  <w:bCs/>
                  <w:sz w:val="24"/>
                  <w:szCs w:val="24"/>
                </w:rPr>
                <w:t xml:space="preserve"> IoT Week</w:t>
              </w:r>
            </w:hyperlink>
            <w:r w:rsidRPr="004567E2">
              <w:rPr>
                <w:rFonts w:ascii="Times New Roman" w:hAnsi="Times New Roman" w:cs="Times New Roman"/>
                <w:sz w:val="24"/>
                <w:szCs w:val="24"/>
              </w:rPr>
              <w:t xml:space="preserve">, organized on 6-9 June 2017, in Geneva, Switzerland, comprised over 200 sessions and activities, which provided an overview of the latest developments in the Internet of Things (IoT) domain: on emerging technologies, security and privacy, sustainable development, industry and market evolution, by addressing </w:t>
            </w:r>
            <w:hyperlink r:id="rId949" w:tgtFrame="_blank" w:history="1">
              <w:r w:rsidRPr="004567E2">
                <w:rPr>
                  <w:rFonts w:ascii="Times New Roman" w:hAnsi="Times New Roman" w:cs="Times New Roman"/>
                  <w:sz w:val="24"/>
                  <w:szCs w:val="24"/>
                </w:rPr>
                <w:t>IPV6-based IoT deployment,</w:t>
              </w:r>
            </w:hyperlink>
            <w:r w:rsidRPr="004567E2">
              <w:rPr>
                <w:rFonts w:ascii="Times New Roman" w:hAnsi="Times New Roman" w:cs="Times New Roman"/>
                <w:sz w:val="24"/>
                <w:szCs w:val="24"/>
              </w:rPr>
              <w:t xml:space="preserve"> IoT platform convergence for Smart Cities, large industries views on IoT data &amp; security, drones, privacy &amp; ethics, Web of Things, IoT for active and assisted living, IoT enabling technologies, telco industry perspectives on future IoT, IoT pilot projects, energy efficient solutions based on IoT, IoT standards ecosystem, IoT for inclusiveness and reduce inequalities (SDGs 4,5, 8,10), IoT for sustainable cities and communities (SDG 11), multi-stakeholder co-creation for IoT contexts, IoT for industry, innovation &amp; infrastructure (SDG 9), IoT &amp; the Fourth industrial revolution and Industry 4.0 &amp; smart factory &amp; delivery, emerging IoT solutions in developing countries, and IoT </w:t>
            </w:r>
            <w:r w:rsidRPr="004567E2">
              <w:rPr>
                <w:rFonts w:ascii="Times New Roman" w:hAnsi="Times New Roman" w:cs="Times New Roman"/>
                <w:sz w:val="24"/>
                <w:szCs w:val="24"/>
              </w:rPr>
              <w:lastRenderedPageBreak/>
              <w:t>Start-ups, and concluded with the “</w:t>
            </w:r>
            <w:hyperlink r:id="rId950" w:history="1">
              <w:r w:rsidRPr="004567E2">
                <w:rPr>
                  <w:rStyle w:val="Hyperlink"/>
                  <w:rFonts w:ascii="Times New Roman" w:hAnsi="Times New Roman" w:cs="Times New Roman"/>
                  <w:sz w:val="24"/>
                  <w:szCs w:val="24"/>
                </w:rPr>
                <w:t>Internet of Things Declaration to Achieve the Sustainable Development Goals</w:t>
              </w:r>
            </w:hyperlink>
            <w:r w:rsidRPr="004567E2">
              <w:rPr>
                <w:rFonts w:ascii="Times New Roman" w:hAnsi="Times New Roman" w:cs="Times New Roman"/>
                <w:sz w:val="24"/>
                <w:szCs w:val="24"/>
              </w:rPr>
              <w: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lastRenderedPageBreak/>
              <w:t>C7, 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9.1, 11.2,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 WS</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r w:rsidRPr="004567E2">
              <w:rPr>
                <w:rFonts w:ascii="Times New Roman" w:hAnsi="Times New Roman" w:cs="Times New Roman"/>
                <w:sz w:val="24"/>
                <w:szCs w:val="24"/>
              </w:rPr>
              <w:t xml:space="preserve">An </w:t>
            </w:r>
            <w:hyperlink r:id="rId951" w:history="1">
              <w:r w:rsidRPr="004567E2">
                <w:rPr>
                  <w:rStyle w:val="Hyperlink"/>
                  <w:rFonts w:ascii="Times New Roman" w:hAnsi="Times New Roman" w:cs="Times New Roman"/>
                  <w:sz w:val="24"/>
                  <w:szCs w:val="24"/>
                  <w:lang w:val="en-GB"/>
                </w:rPr>
                <w:t>ITU Forum on Data Management: Transforming Data into Value - Expanding the IoT Potential with a special focus on smart cities</w:t>
              </w:r>
            </w:hyperlink>
            <w:r w:rsidRPr="004567E2">
              <w:rPr>
                <w:rFonts w:ascii="Times New Roman" w:hAnsi="Times New Roman" w:cs="Times New Roman"/>
                <w:sz w:val="24"/>
                <w:szCs w:val="24"/>
              </w:rPr>
              <w:t xml:space="preserve"> took place on 12 March 2017 in Dubai, United Arab Emirates.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C7, 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9.1, 11.2,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 Kaleidoscope</w:t>
            </w:r>
          </w:p>
        </w:tc>
        <w:tc>
          <w:tcPr>
            <w:tcW w:w="8278" w:type="dxa"/>
          </w:tcPr>
          <w:p w:rsidR="00A11163" w:rsidRPr="004567E2" w:rsidRDefault="00A11163" w:rsidP="00A11163">
            <w:pPr>
              <w:rPr>
                <w:rStyle w:val="Hyperlink"/>
                <w:rFonts w:ascii="Times New Roman" w:hAnsi="Times New Roman" w:cs="Times New Roman"/>
                <w:sz w:val="24"/>
                <w:szCs w:val="24"/>
              </w:rPr>
            </w:pPr>
            <w:r w:rsidRPr="004567E2">
              <w:rPr>
                <w:rFonts w:ascii="Times New Roman" w:hAnsi="Times New Roman" w:cs="Times New Roman"/>
                <w:sz w:val="24"/>
                <w:szCs w:val="24"/>
              </w:rPr>
              <w:t xml:space="preserve">ITU Kaleidoscope conference, Kyoto, Japan, 22-25 April 2013 </w:t>
            </w:r>
            <w:hyperlink r:id="rId952" w:history="1">
              <w:r w:rsidRPr="004567E2">
                <w:rPr>
                  <w:rStyle w:val="Hyperlink"/>
                  <w:rFonts w:ascii="Times New Roman" w:hAnsi="Times New Roman" w:cs="Times New Roman"/>
                  <w:sz w:val="24"/>
                  <w:szCs w:val="24"/>
                </w:rPr>
                <w:t>Building Sustainable Communities</w:t>
              </w:r>
            </w:hyperlink>
            <w:r w:rsidRPr="004567E2">
              <w:rPr>
                <w:rFonts w:ascii="Times New Roman" w:hAnsi="Times New Roman" w:cs="Times New Roman"/>
                <w:sz w:val="24"/>
                <w:szCs w:val="24"/>
              </w:rPr>
              <w:t xml:space="preserve"> − was the fifth in a series of peer-reviewed academic conferences organized by ITU that aimed to identify emerging developments in Information and Communication Technologies (ICTs) at an early stage to generate successful products and services through the development of international and open standards. ICTs can be used as a catalyst for transforming life to meet the challenges of the new millennium, including global economic and financial crises, high unemployment rates, accessibility issues, global diseases, food availability and distribution, climate change, environmental disasters, energy consumption, transport systems, safety, security, and welfare. Sustainable communities will combine human-oriented technologies and human values. To address these issues, and for a co-evolution of technology and sustainable communities, standards are indispensable. Developing these standards will require concerted global efforts by inter-sectoral stakeholders. Kaleidoscope 2013 helped to further such collaborations and highlight multidisciplinary aspects of future ICTs.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C11</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 xml:space="preserve">9.1, 11.3,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rPr>
                <w:rStyle w:val="Hyperlink"/>
                <w:rFonts w:ascii="Times New Roman" w:hAnsi="Times New Roman" w:cs="Times New Roman"/>
                <w:sz w:val="24"/>
                <w:szCs w:val="24"/>
              </w:rPr>
            </w:pPr>
            <w:r w:rsidRPr="004567E2">
              <w:rPr>
                <w:rFonts w:ascii="Times New Roman" w:hAnsi="Times New Roman" w:cs="Times New Roman"/>
                <w:sz w:val="24"/>
                <w:szCs w:val="24"/>
              </w:rPr>
              <w:t xml:space="preserve">An </w:t>
            </w:r>
            <w:hyperlink r:id="rId953" w:history="1">
              <w:r w:rsidRPr="004567E2">
                <w:rPr>
                  <w:rStyle w:val="Hyperlink"/>
                  <w:rFonts w:ascii="Times New Roman" w:hAnsi="Times New Roman" w:cs="Times New Roman"/>
                  <w:sz w:val="24"/>
                  <w:szCs w:val="24"/>
                </w:rPr>
                <w:t>ITU Workshop on “5G, EMF &amp; Health”</w:t>
              </w:r>
            </w:hyperlink>
            <w:r w:rsidRPr="004567E2">
              <w:rPr>
                <w:rFonts w:ascii="Times New Roman" w:hAnsi="Times New Roman" w:cs="Times New Roman"/>
                <w:sz w:val="24"/>
                <w:szCs w:val="24"/>
              </w:rPr>
              <w:t xml:space="preserve"> was held on 5 December 2017 in Warsaw, Poland. The main purpose of the workshop was to respond to ITU-T Resolution 72 (Rev. Hammamet, 2016) – "Measurement concerns related to human exposure to electromagnetic fields". This workshop provided an overview of the EMF, 5G and health issues to policy makers and other stakeholders with a special focus on Poland and identified a few actions for consideration of ITU-T Study Group 5: Environment, Climate Change and Circular Economy.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7.a, 9.1, 13.1,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rPr>
                <w:rStyle w:val="Hyperlink"/>
                <w:rFonts w:ascii="Times New Roman" w:hAnsi="Times New Roman" w:cs="Times New Roman"/>
                <w:sz w:val="24"/>
                <w:szCs w:val="24"/>
              </w:rPr>
            </w:pPr>
            <w:r w:rsidRPr="004567E2">
              <w:rPr>
                <w:rFonts w:ascii="Times New Roman" w:hAnsi="Times New Roman" w:cs="Times New Roman"/>
                <w:color w:val="212121"/>
                <w:sz w:val="24"/>
                <w:szCs w:val="24"/>
              </w:rPr>
              <w:t xml:space="preserve">The </w:t>
            </w:r>
            <w:hyperlink r:id="rId954" w:history="1">
              <w:r w:rsidRPr="004567E2">
                <w:rPr>
                  <w:rStyle w:val="Hyperlink"/>
                  <w:rFonts w:ascii="Times New Roman" w:hAnsi="Times New Roman" w:cs="Times New Roman"/>
                  <w:sz w:val="24"/>
                  <w:szCs w:val="24"/>
                </w:rPr>
                <w:t>8</w:t>
              </w:r>
              <w:r w:rsidRPr="004567E2">
                <w:rPr>
                  <w:rStyle w:val="Hyperlink"/>
                  <w:rFonts w:ascii="Times New Roman" w:hAnsi="Times New Roman" w:cs="Times New Roman"/>
                  <w:sz w:val="24"/>
                  <w:szCs w:val="24"/>
                  <w:vertAlign w:val="superscript"/>
                </w:rPr>
                <w:t>th</w:t>
              </w:r>
              <w:r w:rsidRPr="004567E2">
                <w:rPr>
                  <w:rStyle w:val="Hyperlink"/>
                  <w:rFonts w:ascii="Times New Roman" w:hAnsi="Times New Roman" w:cs="Times New Roman"/>
                  <w:sz w:val="24"/>
                  <w:szCs w:val="24"/>
                </w:rPr>
                <w:t> Green Standards Week</w:t>
              </w:r>
            </w:hyperlink>
            <w:r w:rsidRPr="004567E2">
              <w:rPr>
                <w:rFonts w:ascii="Times New Roman" w:hAnsi="Times New Roman" w:cs="Times New Roman"/>
                <w:color w:val="212121"/>
                <w:sz w:val="24"/>
                <w:szCs w:val="24"/>
              </w:rPr>
              <w:t xml:space="preserve"> (GSW-18) was held from 9 to 12 April 2018 in Zanzibar, Tanzania. </w:t>
            </w:r>
            <w:r w:rsidRPr="004567E2">
              <w:rPr>
                <w:rFonts w:ascii="Times New Roman" w:hAnsi="Times New Roman" w:cs="Times New Roman"/>
                <w:sz w:val="24"/>
                <w:szCs w:val="24"/>
              </w:rPr>
              <w:t>The event was kindly hosted by the Universal Communications Service Access Fund (UCSAF) and Tanzania Communications Regulatory Authority (TCRA). The 8</w:t>
            </w:r>
            <w:r w:rsidRPr="004567E2">
              <w:rPr>
                <w:rFonts w:ascii="Times New Roman" w:hAnsi="Times New Roman" w:cs="Times New Roman"/>
                <w:sz w:val="24"/>
                <w:szCs w:val="24"/>
                <w:vertAlign w:val="superscript"/>
              </w:rPr>
              <w:t>th</w:t>
            </w:r>
            <w:r w:rsidRPr="004567E2">
              <w:rPr>
                <w:rFonts w:ascii="Times New Roman" w:hAnsi="Times New Roman" w:cs="Times New Roman"/>
                <w:sz w:val="24"/>
                <w:szCs w:val="24"/>
              </w:rPr>
              <w:t xml:space="preserve"> GSW was organized together with UN Habitat, United Nations University (UNU), United Nations Industrial Development Organization (UNIDO), the Secretariat of the Basel Convention and UN Environment. </w:t>
            </w:r>
            <w:r w:rsidRPr="004567E2">
              <w:rPr>
                <w:rFonts w:ascii="Times New Roman" w:hAnsi="Times New Roman" w:cs="Times New Roman"/>
                <w:color w:val="212121"/>
                <w:sz w:val="24"/>
                <w:szCs w:val="24"/>
              </w:rPr>
              <w:t xml:space="preserve">It counted with more than 180 participants from 25 countries. </w:t>
            </w:r>
            <w:r w:rsidRPr="004567E2">
              <w:rPr>
                <w:rFonts w:ascii="Times New Roman" w:hAnsi="Times New Roman" w:cs="Times New Roman"/>
                <w:sz w:val="24"/>
                <w:szCs w:val="24"/>
              </w:rPr>
              <w:t>The 8</w:t>
            </w:r>
            <w:r w:rsidRPr="004567E2">
              <w:rPr>
                <w:rFonts w:ascii="Times New Roman" w:hAnsi="Times New Roman" w:cs="Times New Roman"/>
                <w:sz w:val="24"/>
                <w:szCs w:val="24"/>
                <w:vertAlign w:val="superscript"/>
              </w:rPr>
              <w:t>th</w:t>
            </w:r>
            <w:r w:rsidRPr="004567E2">
              <w:rPr>
                <w:rFonts w:ascii="Times New Roman" w:hAnsi="Times New Roman" w:cs="Times New Roman"/>
                <w:sz w:val="24"/>
                <w:szCs w:val="24"/>
              </w:rPr>
              <w:t xml:space="preserve"> GSW was dedicated to the theme “Linking circular economy and industry 4.0”.</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12.4, 13.1, 13.a,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rPr>
                <w:rFonts w:ascii="Times New Roman" w:hAnsi="Times New Roman" w:cs="Times New Roman"/>
                <w:color w:val="212121"/>
                <w:sz w:val="24"/>
                <w:szCs w:val="24"/>
              </w:rPr>
            </w:pPr>
            <w:r w:rsidRPr="004567E2">
              <w:rPr>
                <w:rFonts w:ascii="Times New Roman" w:hAnsi="Times New Roman" w:cs="Times New Roman"/>
                <w:bCs/>
                <w:iCs/>
                <w:sz w:val="24"/>
                <w:szCs w:val="24"/>
              </w:rPr>
              <w:t>6</w:t>
            </w:r>
            <w:r w:rsidRPr="004567E2">
              <w:rPr>
                <w:rFonts w:ascii="Times New Roman" w:hAnsi="Times New Roman" w:cs="Times New Roman"/>
                <w:bCs/>
                <w:iCs/>
                <w:sz w:val="24"/>
                <w:szCs w:val="24"/>
                <w:vertAlign w:val="superscript"/>
              </w:rPr>
              <w:t>th</w:t>
            </w:r>
            <w:r w:rsidRPr="004567E2">
              <w:rPr>
                <w:rFonts w:ascii="Times New Roman" w:hAnsi="Times New Roman" w:cs="Times New Roman"/>
                <w:bCs/>
                <w:iCs/>
                <w:sz w:val="24"/>
                <w:szCs w:val="24"/>
              </w:rPr>
              <w:t xml:space="preserve"> ITU Green Standards Week: Shaping Smart Sustainable Cities: Towards Habitat III, 5-9 September 2016, Montevideo, Uruguay, hosted by the Municipality of Montevideo, Uruguay. The 6th ITU Green Standards Week was co-organized with the Inter-American Association of Telecommunication Enterprises (ASIET), the Economic Commission for Latin American and the Caribbean (ECLAC), the Basel Convention Regional Centre for the South American Region (CRBAS) and the Development Bank of Latin America (CAF). Full text of the press release highlighting the event’s conclusion with the adoption of the Montevideo Declaration is available </w:t>
            </w:r>
            <w:hyperlink r:id="rId955" w:history="1">
              <w:r w:rsidRPr="004567E2">
                <w:rPr>
                  <w:rStyle w:val="Hyperlink"/>
                  <w:rFonts w:ascii="Times New Roman" w:hAnsi="Times New Roman" w:cs="Times New Roman"/>
                  <w:bCs/>
                  <w:iCs/>
                  <w:sz w:val="24"/>
                  <w:szCs w:val="24"/>
                </w:rPr>
                <w:t>here</w:t>
              </w:r>
            </w:hyperlink>
            <w:r w:rsidRPr="004567E2">
              <w:rPr>
                <w:rFonts w:ascii="Times New Roman" w:hAnsi="Times New Roman" w:cs="Times New Roman"/>
                <w:bCs/>
                <w:iCs/>
                <w:sz w:val="24"/>
                <w:szCs w:val="24"/>
              </w:rPr>
              <w: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12.4, 13.1, 13.a, 17.6, </w:t>
            </w:r>
            <w:r w:rsidRPr="004567E2">
              <w:rPr>
                <w:rFonts w:ascii="Times New Roman" w:hAnsi="Times New Roman" w:cs="Times New Roman"/>
                <w:sz w:val="24"/>
                <w:szCs w:val="24"/>
              </w:rPr>
              <w:t>117.16, 17.17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rPr>
                <w:rStyle w:val="Hyperlink"/>
                <w:rFonts w:ascii="Times New Roman" w:hAnsi="Times New Roman" w:cs="Times New Roman"/>
                <w:color w:val="auto"/>
                <w:sz w:val="24"/>
                <w:szCs w:val="24"/>
                <w:u w:val="none"/>
              </w:rPr>
            </w:pPr>
            <w:r w:rsidRPr="004567E2">
              <w:rPr>
                <w:rFonts w:ascii="Times New Roman" w:hAnsi="Times New Roman" w:cs="Times New Roman"/>
                <w:sz w:val="24"/>
                <w:szCs w:val="24"/>
              </w:rPr>
              <w:t>Annual Green Standards Week event (the Bahamas 2015, Uruguay 2016)</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12.4, 13.1, 13.a, 17.6, </w:t>
            </w:r>
            <w:r w:rsidRPr="004567E2">
              <w:rPr>
                <w:rFonts w:ascii="Times New Roman" w:hAnsi="Times New Roman" w:cs="Times New Roman"/>
                <w:sz w:val="24"/>
                <w:szCs w:val="24"/>
              </w:rPr>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rPr>
                <w:rFonts w:ascii="Times New Roman" w:hAnsi="Times New Roman" w:cs="Times New Roman"/>
                <w:sz w:val="24"/>
                <w:szCs w:val="24"/>
              </w:rPr>
            </w:pPr>
            <w:hyperlink r:id="rId956" w:history="1">
              <w:r w:rsidR="00A11163" w:rsidRPr="004567E2">
                <w:rPr>
                  <w:rStyle w:val="Hyperlink"/>
                  <w:rFonts w:ascii="Times New Roman" w:hAnsi="Times New Roman" w:cs="Times New Roman"/>
                  <w:sz w:val="24"/>
                  <w:szCs w:val="24"/>
                </w:rPr>
                <w:t>ITU Green Standards Week</w:t>
              </w:r>
            </w:hyperlink>
            <w:r w:rsidR="00A11163" w:rsidRPr="004567E2">
              <w:rPr>
                <w:rFonts w:ascii="Times New Roman" w:hAnsi="Times New Roman" w:cs="Times New Roman"/>
                <w:sz w:val="24"/>
                <w:szCs w:val="24"/>
              </w:rPr>
              <w:t xml:space="preserve"> is a global platform for discussion and knowledge-sharing on means of capitalizing on ICTs and supporting technical standards in building smart sustainable cities and ensure a sustainable future.</w:t>
            </w:r>
          </w:p>
          <w:p w:rsidR="00A11163" w:rsidRPr="004567E2" w:rsidRDefault="00A11163" w:rsidP="00A11163">
            <w:pPr>
              <w:rPr>
                <w:rStyle w:val="Hyperlink"/>
                <w:rFonts w:ascii="Times New Roman" w:hAnsi="Times New Roman" w:cs="Times New Roman"/>
                <w:sz w:val="24"/>
                <w:szCs w:val="24"/>
              </w:rPr>
            </w:pPr>
            <w:r w:rsidRPr="004567E2">
              <w:rPr>
                <w:rFonts w:ascii="Times New Roman" w:hAnsi="Times New Roman" w:cs="Times New Roman"/>
                <w:sz w:val="24"/>
                <w:szCs w:val="24"/>
              </w:rPr>
              <w:t xml:space="preserve">The </w:t>
            </w:r>
            <w:hyperlink r:id="rId957" w:history="1">
              <w:r w:rsidRPr="004567E2">
                <w:rPr>
                  <w:rStyle w:val="Hyperlink"/>
                  <w:rFonts w:ascii="Times New Roman" w:hAnsi="Times New Roman" w:cs="Times New Roman"/>
                  <w:sz w:val="24"/>
                  <w:szCs w:val="24"/>
                </w:rPr>
                <w:t>Seventh Green Standards Week</w:t>
              </w:r>
            </w:hyperlink>
            <w:r w:rsidRPr="004567E2">
              <w:rPr>
                <w:rFonts w:ascii="Times New Roman" w:hAnsi="Times New Roman" w:cs="Times New Roman"/>
                <w:sz w:val="24"/>
                <w:szCs w:val="24"/>
              </w:rPr>
              <w:t xml:space="preserve"> (GSW-17) was be held from 3 to 5 April 2017 in Manizales, Colombia. This year, the Green Standards Week was dedicated to the </w:t>
            </w:r>
            <w:r w:rsidRPr="004567E2">
              <w:rPr>
                <w:rFonts w:ascii="Times New Roman" w:hAnsi="Times New Roman" w:cs="Times New Roman"/>
                <w:sz w:val="24"/>
                <w:szCs w:val="24"/>
              </w:rPr>
              <w:lastRenderedPageBreak/>
              <w:t>theme of “Circular Economy and Smart Sustainable Cities” and explored the policies, standards and best practices required to transition to resource-efficient Circular Economy and Smart Sustainable Cities.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 C4,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12.4, 13.1, 13.a, </w:t>
            </w:r>
            <w:r w:rsidRPr="004567E2">
              <w:rPr>
                <w:rFonts w:ascii="Times New Roman" w:hAnsi="Times New Roman" w:cs="Times New Roman"/>
                <w:sz w:val="24"/>
                <w:szCs w:val="24"/>
              </w:rPr>
              <w:t xml:space="preserve">17.6, </w:t>
            </w:r>
            <w:r w:rsidRPr="004567E2">
              <w:rPr>
                <w:rFonts w:ascii="Times New Roman" w:hAnsi="Times New Roman" w:cs="Times New Roman"/>
                <w:sz w:val="24"/>
                <w:szCs w:val="24"/>
              </w:rPr>
              <w:lastRenderedPageBreak/>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rPr>
                <w:rStyle w:val="Hyperlink"/>
                <w:rFonts w:ascii="Times New Roman" w:hAnsi="Times New Roman" w:cs="Times New Roman"/>
                <w:b/>
                <w:sz w:val="24"/>
                <w:szCs w:val="24"/>
              </w:rPr>
            </w:pPr>
            <w:hyperlink r:id="rId958" w:history="1">
              <w:r w:rsidR="00A11163" w:rsidRPr="004567E2">
                <w:rPr>
                  <w:rStyle w:val="Strong"/>
                  <w:rFonts w:ascii="Times New Roman" w:hAnsi="Times New Roman" w:cs="Times New Roman"/>
                  <w:b w:val="0"/>
                  <w:color w:val="0000FF"/>
                  <w:sz w:val="24"/>
                  <w:szCs w:val="24"/>
                  <w:u w:val="single"/>
                  <w:shd w:val="clear" w:color="auto" w:fill="FFFFFF"/>
                </w:rPr>
                <w:t>First Arab-African Interregional Standardization Forum (ISF) for Bridging the Standardization Gap with a focus on PKI for e-trust in the hyperconnected world</w:t>
              </w:r>
            </w:hyperlink>
            <w:r w:rsidR="00A11163" w:rsidRPr="004567E2">
              <w:rPr>
                <w:rFonts w:ascii="Times New Roman" w:hAnsi="Times New Roman" w:cs="Times New Roman"/>
                <w:color w:val="444444"/>
                <w:sz w:val="24"/>
                <w:szCs w:val="24"/>
                <w:shd w:val="clear" w:color="auto" w:fill="FFFFFF"/>
              </w:rPr>
              <w:t xml:space="preserve">, </w:t>
            </w:r>
            <w:r w:rsidR="00A11163" w:rsidRPr="004567E2">
              <w:rPr>
                <w:rFonts w:ascii="Times New Roman" w:hAnsi="Times New Roman" w:cs="Times New Roman"/>
                <w:sz w:val="24"/>
                <w:szCs w:val="24"/>
                <w:shd w:val="clear" w:color="auto" w:fill="FFFFFF"/>
              </w:rPr>
              <w:t>Muscat, Oman, 11-12 December 2017</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 C4, C5,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rPr>
                <w:rFonts w:ascii="Times New Roman" w:hAnsi="Times New Roman" w:cs="Times New Roman"/>
                <w:b/>
                <w:color w:val="444444"/>
                <w:sz w:val="24"/>
                <w:szCs w:val="24"/>
                <w:u w:val="single"/>
                <w:shd w:val="clear" w:color="auto" w:fill="FFFFFF"/>
              </w:rPr>
            </w:pPr>
            <w:hyperlink r:id="rId959" w:history="1">
              <w:r w:rsidR="00A11163" w:rsidRPr="004567E2">
                <w:rPr>
                  <w:rStyle w:val="Hyperlink"/>
                  <w:rFonts w:ascii="Times New Roman" w:hAnsi="Times New Roman" w:cs="Times New Roman"/>
                  <w:bCs/>
                  <w:sz w:val="24"/>
                  <w:szCs w:val="24"/>
                </w:rPr>
                <w:t>ITU Regional Standardization Forum for Bridging the Standardization Gap (BSG) - Arab Region</w:t>
              </w:r>
            </w:hyperlink>
            <w:r w:rsidR="00A11163" w:rsidRPr="004567E2">
              <w:rPr>
                <w:rStyle w:val="Strong"/>
                <w:rFonts w:ascii="Times New Roman" w:hAnsi="Times New Roman" w:cs="Times New Roman"/>
                <w:b w:val="0"/>
                <w:sz w:val="24"/>
                <w:szCs w:val="24"/>
              </w:rPr>
              <w:t>,</w:t>
            </w:r>
            <w:r w:rsidR="00A11163" w:rsidRPr="004567E2">
              <w:rPr>
                <w:rStyle w:val="Strong"/>
                <w:rFonts w:ascii="Times New Roman" w:hAnsi="Times New Roman" w:cs="Times New Roman"/>
                <w:sz w:val="24"/>
                <w:szCs w:val="24"/>
              </w:rPr>
              <w:t xml:space="preserve"> </w:t>
            </w:r>
            <w:r w:rsidR="00A11163" w:rsidRPr="004567E2">
              <w:rPr>
                <w:rFonts w:ascii="Times New Roman" w:hAnsi="Times New Roman" w:cs="Times New Roman"/>
                <w:sz w:val="24"/>
                <w:szCs w:val="24"/>
              </w:rPr>
              <w:t>Riyadh, Saudi Arabia, 19 November 2017</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rPr>
                <w:rStyle w:val="Strong"/>
                <w:rFonts w:ascii="Times New Roman" w:hAnsi="Times New Roman" w:cs="Times New Roman"/>
                <w:sz w:val="24"/>
                <w:szCs w:val="24"/>
              </w:rPr>
            </w:pPr>
            <w:hyperlink r:id="rId960" w:history="1">
              <w:r w:rsidR="00A11163" w:rsidRPr="004567E2">
                <w:rPr>
                  <w:rStyle w:val="Strong"/>
                  <w:rFonts w:ascii="Times New Roman" w:hAnsi="Times New Roman" w:cs="Times New Roman"/>
                  <w:b w:val="0"/>
                  <w:color w:val="0000FF"/>
                  <w:sz w:val="24"/>
                  <w:szCs w:val="24"/>
                  <w:u w:val="single"/>
                </w:rPr>
                <w:t>ITU Regional Standardization Forum for Bridging the Standardization Gap (BSG) - Asia and Pacific Region</w:t>
              </w:r>
            </w:hyperlink>
            <w:r w:rsidR="00A11163" w:rsidRPr="004567E2">
              <w:rPr>
                <w:rFonts w:ascii="Times New Roman" w:hAnsi="Times New Roman" w:cs="Times New Roman"/>
                <w:sz w:val="24"/>
                <w:szCs w:val="24"/>
              </w:rPr>
              <w:t>, Seoul, Korea (Rep. of), 24 October 2017</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rPr>
                <w:rFonts w:ascii="Times New Roman" w:hAnsi="Times New Roman" w:cs="Times New Roman"/>
                <w:b/>
                <w:sz w:val="24"/>
                <w:szCs w:val="24"/>
                <w:u w:val="single"/>
              </w:rPr>
            </w:pPr>
            <w:hyperlink r:id="rId961" w:history="1">
              <w:r w:rsidR="00A11163" w:rsidRPr="004567E2">
                <w:rPr>
                  <w:rStyle w:val="Strong"/>
                  <w:rFonts w:ascii="Times New Roman" w:hAnsi="Times New Roman" w:cs="Times New Roman"/>
                  <w:b w:val="0"/>
                  <w:color w:val="0000FF"/>
                  <w:sz w:val="24"/>
                  <w:szCs w:val="24"/>
                  <w:u w:val="single"/>
                </w:rPr>
                <w:t>Third Mini Workshop on Immersive Live Experience (ILE)</w:t>
              </w:r>
            </w:hyperlink>
            <w:r w:rsidR="00A11163" w:rsidRPr="004567E2">
              <w:rPr>
                <w:rFonts w:ascii="Times New Roman" w:hAnsi="Times New Roman" w:cs="Times New Roman"/>
                <w:sz w:val="24"/>
                <w:szCs w:val="24"/>
              </w:rPr>
              <w:t>, Macao, China, 24 October 2017</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rPr>
                <w:rFonts w:ascii="Times New Roman" w:hAnsi="Times New Roman" w:cs="Times New Roman"/>
                <w:b/>
                <w:sz w:val="24"/>
                <w:szCs w:val="24"/>
                <w:u w:val="single"/>
              </w:rPr>
            </w:pPr>
            <w:hyperlink r:id="rId962" w:history="1">
              <w:r w:rsidR="00A11163" w:rsidRPr="004567E2">
                <w:rPr>
                  <w:rStyle w:val="Strong"/>
                  <w:rFonts w:ascii="Times New Roman" w:hAnsi="Times New Roman" w:cs="Times New Roman"/>
                  <w:b w:val="0"/>
                  <w:color w:val="0000FF"/>
                  <w:sz w:val="24"/>
                  <w:szCs w:val="24"/>
                  <w:u w:val="single"/>
                </w:rPr>
                <w:t>Mini-Workshop on Future CDN</w:t>
              </w:r>
            </w:hyperlink>
            <w:r w:rsidR="00A11163" w:rsidRPr="004567E2">
              <w:rPr>
                <w:rFonts w:ascii="Times New Roman" w:hAnsi="Times New Roman" w:cs="Times New Roman"/>
                <w:sz w:val="24"/>
                <w:szCs w:val="24"/>
              </w:rPr>
              <w:t>, Macao, China, 17 October 2017</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rPr>
                <w:rFonts w:ascii="Times New Roman" w:hAnsi="Times New Roman" w:cs="Times New Roman"/>
                <w:b/>
                <w:sz w:val="24"/>
                <w:szCs w:val="24"/>
                <w:u w:val="single"/>
              </w:rPr>
            </w:pPr>
            <w:hyperlink r:id="rId963" w:history="1">
              <w:r w:rsidR="00A11163" w:rsidRPr="004567E2">
                <w:rPr>
                  <w:rStyle w:val="Strong"/>
                  <w:rFonts w:ascii="Times New Roman" w:hAnsi="Times New Roman" w:cs="Times New Roman"/>
                  <w:b w:val="0"/>
                  <w:color w:val="0000FF"/>
                  <w:sz w:val="24"/>
                  <w:szCs w:val="24"/>
                  <w:u w:val="single"/>
                </w:rPr>
                <w:t>Workshop on the evolution of transport networks to support IMT-2020/5G,</w:t>
              </w:r>
              <w:r w:rsidR="00A11163" w:rsidRPr="004567E2">
                <w:rPr>
                  <w:rStyle w:val="Strong"/>
                  <w:rFonts w:ascii="Times New Roman" w:hAnsi="Times New Roman" w:cs="Times New Roman"/>
                  <w:color w:val="0000FF"/>
                  <w:sz w:val="24"/>
                  <w:szCs w:val="24"/>
                </w:rPr>
                <w:t xml:space="preserve"> </w:t>
              </w:r>
            </w:hyperlink>
            <w:r w:rsidR="00A11163" w:rsidRPr="004567E2">
              <w:rPr>
                <w:rFonts w:ascii="Times New Roman" w:hAnsi="Times New Roman" w:cs="Times New Roman"/>
                <w:sz w:val="24"/>
                <w:szCs w:val="24"/>
              </w:rPr>
              <w:t>Geneva, Switzerland, 16 October 2017</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C6,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rPr>
                <w:rFonts w:ascii="Times New Roman" w:hAnsi="Times New Roman" w:cs="Times New Roman"/>
                <w:sz w:val="24"/>
                <w:szCs w:val="24"/>
              </w:rPr>
            </w:pPr>
            <w:hyperlink r:id="rId964" w:history="1">
              <w:r w:rsidR="00A11163" w:rsidRPr="004567E2">
                <w:rPr>
                  <w:rStyle w:val="Strong"/>
                  <w:rFonts w:ascii="Times New Roman" w:hAnsi="Times New Roman" w:cs="Times New Roman"/>
                  <w:b w:val="0"/>
                  <w:color w:val="0000FF"/>
                  <w:sz w:val="24"/>
                  <w:szCs w:val="24"/>
                  <w:u w:val="single"/>
                </w:rPr>
                <w:t>Workshop on Smart Sustainable Cities</w:t>
              </w:r>
            </w:hyperlink>
            <w:r w:rsidR="00A11163" w:rsidRPr="004567E2">
              <w:rPr>
                <w:rFonts w:ascii="Times New Roman" w:hAnsi="Times New Roman" w:cs="Times New Roman"/>
                <w:sz w:val="24"/>
                <w:szCs w:val="24"/>
              </w:rPr>
              <w:t>, Samarkand, Uzbekistan, 1-2 June 2017</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11.2, 11.3, 11.5, 11.6, 11.b,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rPr>
                <w:rFonts w:ascii="Times New Roman" w:hAnsi="Times New Roman" w:cs="Times New Roman"/>
                <w:b/>
                <w:sz w:val="24"/>
                <w:szCs w:val="24"/>
                <w:u w:val="single"/>
              </w:rPr>
            </w:pPr>
            <w:hyperlink r:id="rId965" w:history="1">
              <w:r w:rsidR="00A11163" w:rsidRPr="004567E2">
                <w:rPr>
                  <w:rStyle w:val="Hyperlink"/>
                  <w:rFonts w:ascii="Times New Roman" w:hAnsi="Times New Roman" w:cs="Times New Roman"/>
                  <w:bCs/>
                  <w:sz w:val="24"/>
                  <w:szCs w:val="24"/>
                </w:rPr>
                <w:t xml:space="preserve">Counterfeit ICT Devices, Conformance and Interoperability Testing Challenges in Africa, </w:t>
              </w:r>
            </w:hyperlink>
            <w:r w:rsidR="00A11163" w:rsidRPr="004567E2">
              <w:rPr>
                <w:rFonts w:ascii="Times New Roman" w:hAnsi="Times New Roman" w:cs="Times New Roman"/>
                <w:sz w:val="24"/>
                <w:szCs w:val="24"/>
              </w:rPr>
              <w:t>Cairo, Egypt, 5 April 2017</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 C4, C5,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rPr>
                <w:rStyle w:val="Strong"/>
                <w:rFonts w:ascii="Times New Roman" w:hAnsi="Times New Roman" w:cs="Times New Roman"/>
                <w:sz w:val="24"/>
                <w:szCs w:val="24"/>
              </w:rPr>
            </w:pPr>
            <w:hyperlink r:id="rId966" w:history="1">
              <w:r w:rsidR="00A11163" w:rsidRPr="004567E2">
                <w:rPr>
                  <w:rStyle w:val="Hyperlink"/>
                  <w:rFonts w:ascii="Times New Roman" w:hAnsi="Times New Roman" w:cs="Times New Roman"/>
                  <w:bCs/>
                  <w:sz w:val="24"/>
                  <w:szCs w:val="24"/>
                </w:rPr>
                <w:t xml:space="preserve">Symposium on Future Networked Car, </w:t>
              </w:r>
            </w:hyperlink>
            <w:r w:rsidR="00A11163" w:rsidRPr="004567E2">
              <w:rPr>
                <w:rFonts w:ascii="Times New Roman" w:hAnsi="Times New Roman" w:cs="Times New Roman"/>
                <w:sz w:val="24"/>
                <w:szCs w:val="24"/>
              </w:rPr>
              <w:t>Geneva, Switzerland, 9 March 2017</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9.1, 11.2,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rPr>
                <w:rStyle w:val="Strong"/>
                <w:rFonts w:ascii="Times New Roman" w:hAnsi="Times New Roman" w:cs="Times New Roman"/>
                <w:sz w:val="24"/>
                <w:szCs w:val="24"/>
              </w:rPr>
            </w:pPr>
            <w:hyperlink r:id="rId967" w:history="1">
              <w:r w:rsidR="00A11163" w:rsidRPr="004567E2">
                <w:rPr>
                  <w:rStyle w:val="Hyperlink"/>
                  <w:rFonts w:ascii="Times New Roman" w:hAnsi="Times New Roman" w:cs="Times New Roman"/>
                  <w:bCs/>
                  <w:sz w:val="24"/>
                  <w:szCs w:val="24"/>
                </w:rPr>
                <w:t>ITU Regional Standardization Forum for the Americas Region</w:t>
              </w:r>
            </w:hyperlink>
            <w:r w:rsidR="00A11163" w:rsidRPr="004567E2">
              <w:rPr>
                <w:rStyle w:val="Strong"/>
                <w:rFonts w:ascii="Times New Roman" w:hAnsi="Times New Roman" w:cs="Times New Roman"/>
                <w:sz w:val="24"/>
                <w:szCs w:val="24"/>
              </w:rPr>
              <w:t xml:space="preserve">, </w:t>
            </w:r>
            <w:r w:rsidR="00A11163" w:rsidRPr="004567E2">
              <w:rPr>
                <w:rFonts w:ascii="Times New Roman" w:hAnsi="Times New Roman" w:cs="Times New Roman"/>
                <w:sz w:val="24"/>
                <w:szCs w:val="24"/>
              </w:rPr>
              <w:t>Port of Spain, Trinidad &amp; Tobago, 6 March 2017</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rPr>
                <w:rStyle w:val="Strong"/>
                <w:rFonts w:ascii="Times New Roman" w:hAnsi="Times New Roman" w:cs="Times New Roman"/>
                <w:sz w:val="24"/>
                <w:szCs w:val="24"/>
              </w:rPr>
            </w:pPr>
            <w:hyperlink r:id="rId968" w:history="1">
              <w:r w:rsidR="00A11163" w:rsidRPr="004567E2">
                <w:rPr>
                  <w:rStyle w:val="Hyperlink"/>
                  <w:rFonts w:ascii="Times New Roman" w:hAnsi="Times New Roman" w:cs="Times New Roman"/>
                  <w:bCs/>
                  <w:sz w:val="24"/>
                  <w:szCs w:val="24"/>
                </w:rPr>
                <w:t>2nd ITU-T Mini-Workshop on Immersive Live Experience (ILE)</w:t>
              </w:r>
            </w:hyperlink>
            <w:r w:rsidR="00A11163" w:rsidRPr="004567E2">
              <w:rPr>
                <w:rStyle w:val="Strong"/>
                <w:rFonts w:ascii="Times New Roman" w:hAnsi="Times New Roman" w:cs="Times New Roman"/>
                <w:sz w:val="24"/>
                <w:szCs w:val="24"/>
              </w:rPr>
              <w:t xml:space="preserve">, </w:t>
            </w:r>
            <w:r w:rsidR="00A11163" w:rsidRPr="004567E2">
              <w:rPr>
                <w:rFonts w:ascii="Times New Roman" w:hAnsi="Times New Roman" w:cs="Times New Roman"/>
                <w:sz w:val="24"/>
                <w:szCs w:val="24"/>
              </w:rPr>
              <w:t>Geneva, Switzerland, 19 January 2017</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rPr>
                <w:rStyle w:val="Strong"/>
                <w:rFonts w:ascii="Times New Roman" w:hAnsi="Times New Roman" w:cs="Times New Roman"/>
                <w:sz w:val="24"/>
                <w:szCs w:val="24"/>
              </w:rPr>
            </w:pPr>
            <w:hyperlink r:id="rId969" w:history="1">
              <w:r w:rsidR="00A11163" w:rsidRPr="004567E2">
                <w:rPr>
                  <w:rStyle w:val="Strong"/>
                  <w:rFonts w:ascii="Times New Roman" w:hAnsi="Times New Roman" w:cs="Times New Roman"/>
                  <w:b w:val="0"/>
                  <w:color w:val="0000FF"/>
                  <w:sz w:val="24"/>
                  <w:szCs w:val="24"/>
                  <w:u w:val="single"/>
                </w:rPr>
                <w:t>ITU Workshop on Machine Learning for 5G and beyond</w:t>
              </w:r>
            </w:hyperlink>
            <w:r w:rsidR="00A11163" w:rsidRPr="004567E2">
              <w:rPr>
                <w:rFonts w:ascii="Times New Roman" w:hAnsi="Times New Roman" w:cs="Times New Roman"/>
                <w:sz w:val="24"/>
                <w:szCs w:val="24"/>
              </w:rPr>
              <w:t>, Geneva, Switzerland, 29 January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C2, C4, </w:t>
            </w:r>
            <w:r w:rsidRPr="004567E2">
              <w:rPr>
                <w:rFonts w:ascii="Times New Roman" w:hAnsi="Times New Roman" w:cs="Times New Roman"/>
                <w:bCs/>
                <w:color w:val="000000"/>
                <w:sz w:val="24"/>
                <w:szCs w:val="24"/>
              </w:rPr>
              <w:lastRenderedPageBreak/>
              <w:t>C6,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 xml:space="preserve">9.1, </w:t>
            </w:r>
            <w:r w:rsidRPr="004567E2">
              <w:rPr>
                <w:rFonts w:ascii="Times New Roman" w:hAnsi="Times New Roman" w:cs="Times New Roman"/>
                <w:sz w:val="24"/>
                <w:szCs w:val="24"/>
              </w:rPr>
              <w:t xml:space="preserve">17.6, </w:t>
            </w:r>
            <w:r w:rsidRPr="004567E2">
              <w:rPr>
                <w:rFonts w:ascii="Times New Roman" w:hAnsi="Times New Roman" w:cs="Times New Roman"/>
                <w:sz w:val="24"/>
                <w:szCs w:val="24"/>
              </w:rPr>
              <w:lastRenderedPageBreak/>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rPr>
                <w:rFonts w:ascii="Times New Roman" w:hAnsi="Times New Roman" w:cs="Times New Roman"/>
                <w:b/>
                <w:sz w:val="24"/>
                <w:szCs w:val="24"/>
                <w:u w:val="single"/>
              </w:rPr>
            </w:pPr>
            <w:hyperlink r:id="rId970" w:history="1">
              <w:r w:rsidR="00A11163" w:rsidRPr="004567E2">
                <w:rPr>
                  <w:rStyle w:val="Strong"/>
                  <w:rFonts w:ascii="Times New Roman" w:hAnsi="Times New Roman" w:cs="Times New Roman"/>
                  <w:b w:val="0"/>
                  <w:color w:val="0000FF"/>
                  <w:sz w:val="24"/>
                  <w:szCs w:val="24"/>
                  <w:u w:val="single"/>
                </w:rPr>
                <w:t>ITU Regional Standardization Forum on Emerging Economic, Regulatory and Policy Trends in a Fast-Changing Digital World</w:t>
              </w:r>
            </w:hyperlink>
            <w:r w:rsidR="00A11163" w:rsidRPr="004567E2">
              <w:rPr>
                <w:rFonts w:ascii="Times New Roman" w:hAnsi="Times New Roman" w:cs="Times New Roman"/>
                <w:sz w:val="24"/>
                <w:szCs w:val="24"/>
              </w:rPr>
              <w:t>, Kigali, Rwanda, 5 February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rPr>
                <w:rFonts w:ascii="Times New Roman" w:hAnsi="Times New Roman" w:cs="Times New Roman"/>
                <w:b/>
                <w:sz w:val="24"/>
                <w:szCs w:val="24"/>
                <w:u w:val="single"/>
              </w:rPr>
            </w:pPr>
            <w:hyperlink r:id="rId971" w:history="1">
              <w:r w:rsidR="00A11163" w:rsidRPr="004567E2">
                <w:rPr>
                  <w:rStyle w:val="Hyperlink"/>
                  <w:rFonts w:ascii="Times New Roman" w:hAnsi="Times New Roman" w:cs="Times New Roman"/>
                  <w:bCs/>
                  <w:sz w:val="24"/>
                  <w:szCs w:val="24"/>
                </w:rPr>
                <w:t>1st ITU Workshop on Data Processing and Management for IoT and Smart Cities &amp; Communities</w:t>
              </w:r>
            </w:hyperlink>
            <w:r w:rsidR="00A11163" w:rsidRPr="004567E2">
              <w:rPr>
                <w:rStyle w:val="Strong"/>
                <w:rFonts w:ascii="Times New Roman" w:hAnsi="Times New Roman" w:cs="Times New Roman"/>
                <w:sz w:val="24"/>
                <w:szCs w:val="24"/>
              </w:rPr>
              <w:t xml:space="preserve">, </w:t>
            </w:r>
            <w:r w:rsidR="00A11163" w:rsidRPr="004567E2">
              <w:rPr>
                <w:rFonts w:ascii="Times New Roman" w:hAnsi="Times New Roman" w:cs="Times New Roman"/>
                <w:sz w:val="24"/>
                <w:szCs w:val="24"/>
              </w:rPr>
              <w:t>Brussels, Belgium, 19 February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11.2, 11.3, 11.5, 11.6, 11.b,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bCs/>
                <w:sz w:val="24"/>
                <w:szCs w:val="24"/>
              </w:rPr>
            </w:pPr>
            <w:r w:rsidRPr="004567E2">
              <w:rPr>
                <w:rFonts w:ascii="Times New Roman" w:hAnsi="Times New Roman" w:cs="Times New Roman"/>
                <w:sz w:val="24"/>
                <w:szCs w:val="24"/>
                <w:lang w:val="en-GB"/>
              </w:rPr>
              <w:t xml:space="preserve">The </w:t>
            </w:r>
            <w:hyperlink r:id="rId972" w:history="1">
              <w:r w:rsidRPr="004567E2">
                <w:rPr>
                  <w:rStyle w:val="Hyperlink"/>
                  <w:rFonts w:ascii="Times New Roman" w:hAnsi="Times New Roman" w:cs="Times New Roman"/>
                  <w:color w:val="2585B2"/>
                  <w:sz w:val="24"/>
                  <w:szCs w:val="24"/>
                  <w:lang w:val="en-GB"/>
                </w:rPr>
                <w:t>Symposium on the Future Networked Car</w:t>
              </w:r>
            </w:hyperlink>
            <w:r w:rsidRPr="004567E2">
              <w:rPr>
                <w:rFonts w:ascii="Times New Roman" w:hAnsi="Times New Roman" w:cs="Times New Roman"/>
                <w:color w:val="444444"/>
                <w:sz w:val="24"/>
                <w:szCs w:val="24"/>
                <w:lang w:val="en-GB"/>
              </w:rPr>
              <w:t xml:space="preserve"> (FNC-2017) </w:t>
            </w:r>
            <w:r w:rsidRPr="004567E2">
              <w:rPr>
                <w:rFonts w:ascii="Times New Roman" w:hAnsi="Times New Roman" w:cs="Times New Roman"/>
                <w:sz w:val="24"/>
                <w:szCs w:val="24"/>
                <w:lang w:val="en-GB"/>
              </w:rPr>
              <w:t xml:space="preserve">within the </w:t>
            </w:r>
            <w:hyperlink r:id="rId973" w:history="1">
              <w:r w:rsidRPr="004567E2">
                <w:rPr>
                  <w:rStyle w:val="Hyperlink"/>
                  <w:rFonts w:ascii="Times New Roman" w:hAnsi="Times New Roman" w:cs="Times New Roman"/>
                  <w:color w:val="2585B2"/>
                  <w:sz w:val="24"/>
                  <w:szCs w:val="24"/>
                  <w:lang w:val="en-GB"/>
                </w:rPr>
                <w:t>87</w:t>
              </w:r>
              <w:r w:rsidRPr="004567E2">
                <w:rPr>
                  <w:rStyle w:val="Hyperlink"/>
                  <w:rFonts w:ascii="Times New Roman" w:hAnsi="Times New Roman" w:cs="Times New Roman"/>
                  <w:color w:val="2585B2"/>
                  <w:sz w:val="24"/>
                  <w:szCs w:val="24"/>
                  <w:vertAlign w:val="superscript"/>
                  <w:lang w:val="en-GB"/>
                </w:rPr>
                <w:t>th</w:t>
              </w:r>
              <w:r w:rsidRPr="004567E2">
                <w:rPr>
                  <w:rStyle w:val="Hyperlink"/>
                  <w:rFonts w:ascii="Times New Roman" w:hAnsi="Times New Roman" w:cs="Times New Roman"/>
                  <w:color w:val="2585B2"/>
                  <w:sz w:val="24"/>
                  <w:szCs w:val="24"/>
                  <w:lang w:val="en-GB"/>
                </w:rPr>
                <w:t xml:space="preserve"> Geneva International Motor Show</w:t>
              </w:r>
            </w:hyperlink>
            <w:r w:rsidRPr="004567E2">
              <w:rPr>
                <w:rFonts w:ascii="Times New Roman" w:hAnsi="Times New Roman" w:cs="Times New Roman"/>
                <w:color w:val="444444"/>
                <w:sz w:val="24"/>
                <w:szCs w:val="24"/>
                <w:lang w:val="en-GB"/>
              </w:rPr>
              <w:t xml:space="preserve">, </w:t>
            </w:r>
            <w:r w:rsidRPr="004567E2">
              <w:rPr>
                <w:rFonts w:ascii="Times New Roman" w:hAnsi="Times New Roman" w:cs="Times New Roman"/>
                <w:sz w:val="24"/>
                <w:szCs w:val="24"/>
                <w:lang w:val="en-GB"/>
              </w:rPr>
              <w:t>9 March 2017, brought together the automotive and ICT industries to explore advances in the field of connected, automated vehicles and the associated implications for business, technology and regulation. The Symposium was convened by ITU and UNECE. Technical sessions highlighted the crucial roles of connectivity, information security and privacy, artificial intelligence and machine learning in transforming vehicles transportation. The symposium also discussed how standards bodies can best meet industry needs. The Symposium was followed on 10 March by a meeting of the Collaboration on ITS Communication Standards (CITS).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9.c, 11.2, 17.6, </w:t>
            </w:r>
            <w:r w:rsidRPr="004567E2">
              <w:rPr>
                <w:rFonts w:ascii="Times New Roman" w:hAnsi="Times New Roman" w:cs="Times New Roman"/>
                <w:sz w:val="24"/>
                <w:szCs w:val="24"/>
              </w:rPr>
              <w:t>9.1, 17.16, 17.17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sz w:val="24"/>
                <w:szCs w:val="24"/>
                <w:lang w:val="en-GB"/>
              </w:rPr>
            </w:pPr>
            <w:hyperlink r:id="rId974" w:history="1">
              <w:r w:rsidR="00A11163" w:rsidRPr="004567E2">
                <w:rPr>
                  <w:rStyle w:val="Strong"/>
                  <w:rFonts w:ascii="Times New Roman" w:hAnsi="Times New Roman" w:cs="Times New Roman"/>
                  <w:b w:val="0"/>
                  <w:color w:val="0000FF"/>
                  <w:sz w:val="24"/>
                  <w:szCs w:val="24"/>
                  <w:u w:val="single"/>
                </w:rPr>
                <w:t>Symposium on the Future Networked Car (FNC-18)</w:t>
              </w:r>
            </w:hyperlink>
            <w:r w:rsidR="00A11163" w:rsidRPr="004567E2">
              <w:rPr>
                <w:rFonts w:ascii="Times New Roman" w:hAnsi="Times New Roman" w:cs="Times New Roman"/>
                <w:sz w:val="24"/>
                <w:szCs w:val="24"/>
              </w:rPr>
              <w:t>, Geneva, Switzerland, 8 March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9.c, 11.2, 17.6, </w:t>
            </w:r>
            <w:r w:rsidRPr="004567E2">
              <w:rPr>
                <w:rFonts w:ascii="Times New Roman" w:hAnsi="Times New Roman" w:cs="Times New Roman"/>
                <w:sz w:val="24"/>
                <w:szCs w:val="24"/>
              </w:rPr>
              <w:t xml:space="preserve">9.1, </w:t>
            </w:r>
            <w:r w:rsidRPr="004567E2">
              <w:rPr>
                <w:rFonts w:ascii="Times New Roman" w:hAnsi="Times New Roman" w:cs="Times New Roman"/>
                <w:sz w:val="24"/>
                <w:szCs w:val="24"/>
              </w:rPr>
              <w:lastRenderedPageBreak/>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b/>
                <w:sz w:val="24"/>
                <w:szCs w:val="24"/>
                <w:u w:val="single"/>
              </w:rPr>
            </w:pPr>
            <w:hyperlink r:id="rId975" w:history="1">
              <w:r w:rsidR="00A11163" w:rsidRPr="004567E2">
                <w:rPr>
                  <w:rStyle w:val="Strong"/>
                  <w:rFonts w:ascii="Times New Roman" w:hAnsi="Times New Roman" w:cs="Times New Roman"/>
                  <w:b w:val="0"/>
                  <w:color w:val="0000FF"/>
                  <w:sz w:val="24"/>
                  <w:szCs w:val="24"/>
                  <w:u w:val="single"/>
                </w:rPr>
                <w:t>ITU Workshop on 5G Security</w:t>
              </w:r>
            </w:hyperlink>
            <w:r w:rsidR="00A11163" w:rsidRPr="004567E2">
              <w:rPr>
                <w:rFonts w:ascii="Times New Roman" w:hAnsi="Times New Roman" w:cs="Times New Roman"/>
                <w:sz w:val="24"/>
                <w:szCs w:val="24"/>
              </w:rPr>
              <w:t>, Geneva, Switzerland, 19 March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C5, C6,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9.c, 11.2, 17.6, </w:t>
            </w:r>
            <w:r w:rsidRPr="004567E2">
              <w:rPr>
                <w:rFonts w:ascii="Times New Roman" w:hAnsi="Times New Roman" w:cs="Times New Roman"/>
                <w:sz w:val="24"/>
                <w:szCs w:val="24"/>
              </w:rPr>
              <w:t>9.1, 17.16, 17.17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b/>
                <w:sz w:val="24"/>
                <w:szCs w:val="24"/>
                <w:u w:val="single"/>
              </w:rPr>
            </w:pPr>
            <w:hyperlink r:id="rId976" w:history="1">
              <w:r w:rsidR="00A11163" w:rsidRPr="004567E2">
                <w:rPr>
                  <w:rStyle w:val="Strong"/>
                  <w:rFonts w:ascii="Times New Roman" w:hAnsi="Times New Roman" w:cs="Times New Roman"/>
                  <w:b w:val="0"/>
                  <w:color w:val="0000CC"/>
                  <w:sz w:val="24"/>
                  <w:szCs w:val="24"/>
                  <w:u w:val="single"/>
                </w:rPr>
                <w:t>Sixth Regional Workshop for Africa on "Standardization of future networks: What opportunities for Africa?"</w:t>
              </w:r>
            </w:hyperlink>
            <w:r w:rsidR="00A11163" w:rsidRPr="004567E2">
              <w:rPr>
                <w:rFonts w:ascii="Times New Roman" w:hAnsi="Times New Roman" w:cs="Times New Roman"/>
                <w:sz w:val="24"/>
                <w:szCs w:val="24"/>
              </w:rPr>
              <w:t>, Abidjan, Côte d'Ivoire, 26 – 27 March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9.c, 17.6, </w:t>
            </w:r>
            <w:r w:rsidRPr="004567E2">
              <w:rPr>
                <w:rFonts w:ascii="Times New Roman" w:hAnsi="Times New Roman" w:cs="Times New Roman"/>
                <w:sz w:val="24"/>
                <w:szCs w:val="24"/>
              </w:rPr>
              <w:t>9.1, 17.16, 17.17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 T.1-7</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b/>
                <w:color w:val="0000CC"/>
                <w:sz w:val="24"/>
                <w:szCs w:val="24"/>
                <w:u w:val="single"/>
              </w:rPr>
            </w:pPr>
            <w:hyperlink r:id="rId977" w:history="1">
              <w:r w:rsidR="00A11163" w:rsidRPr="004567E2">
                <w:rPr>
                  <w:rStyle w:val="Strong"/>
                  <w:rFonts w:ascii="Times New Roman" w:hAnsi="Times New Roman" w:cs="Times New Roman"/>
                  <w:b w:val="0"/>
                  <w:color w:val="0000CC"/>
                  <w:sz w:val="24"/>
                  <w:szCs w:val="24"/>
                  <w:u w:val="single"/>
                </w:rPr>
                <w:t>Second ITU-T Study Group 11 Regional Workshop for Africa on “Counterfeit ICT Devices, Conformance and Interoperability Testing Challenges in Africa”</w:t>
              </w:r>
            </w:hyperlink>
            <w:r w:rsidR="00A11163" w:rsidRPr="004567E2">
              <w:rPr>
                <w:rFonts w:ascii="Times New Roman" w:hAnsi="Times New Roman" w:cs="Times New Roman"/>
                <w:sz w:val="24"/>
                <w:szCs w:val="24"/>
              </w:rPr>
              <w:t>, Tunis, Tunisia, 23 April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 C4, C5,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9.c, 17.6, </w:t>
            </w:r>
            <w:r w:rsidRPr="004567E2">
              <w:rPr>
                <w:rFonts w:ascii="Times New Roman" w:hAnsi="Times New Roman" w:cs="Times New Roman"/>
                <w:sz w:val="24"/>
                <w:szCs w:val="24"/>
              </w:rPr>
              <w:t>9.1, 17.16, 17.17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b/>
                <w:color w:val="0000CC"/>
                <w:sz w:val="24"/>
                <w:szCs w:val="24"/>
                <w:u w:val="single"/>
              </w:rPr>
            </w:pPr>
            <w:hyperlink r:id="rId978" w:history="1">
              <w:r w:rsidR="00A11163" w:rsidRPr="004567E2">
                <w:rPr>
                  <w:rStyle w:val="Hyperlink"/>
                  <w:rFonts w:ascii="Times New Roman" w:hAnsi="Times New Roman" w:cs="Times New Roman"/>
                  <w:bCs/>
                  <w:sz w:val="24"/>
                  <w:szCs w:val="24"/>
                </w:rPr>
                <w:t>BSG Interactive Workshop on Effectiveness in Standardization</w:t>
              </w:r>
            </w:hyperlink>
            <w:r w:rsidR="00A11163" w:rsidRPr="004567E2">
              <w:rPr>
                <w:rStyle w:val="Strong"/>
                <w:rFonts w:ascii="Times New Roman" w:hAnsi="Times New Roman" w:cs="Times New Roman"/>
                <w:color w:val="0066CC"/>
                <w:sz w:val="24"/>
                <w:szCs w:val="24"/>
              </w:rPr>
              <w:t xml:space="preserve">, </w:t>
            </w:r>
            <w:r w:rsidR="00A11163" w:rsidRPr="004567E2">
              <w:rPr>
                <w:rFonts w:ascii="Times New Roman" w:hAnsi="Times New Roman" w:cs="Times New Roman"/>
                <w:sz w:val="24"/>
                <w:szCs w:val="24"/>
              </w:rPr>
              <w:t>Tunis, Tunisia, 24 April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9.c, 17.6, </w:t>
            </w:r>
            <w:r w:rsidRPr="004567E2">
              <w:rPr>
                <w:rFonts w:ascii="Times New Roman" w:hAnsi="Times New Roman" w:cs="Times New Roman"/>
                <w:sz w:val="24"/>
                <w:szCs w:val="24"/>
              </w:rPr>
              <w:t>9.1, 17.16, 17.17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 T.3-a</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Style w:val="Strong"/>
                <w:rFonts w:ascii="Times New Roman" w:hAnsi="Times New Roman" w:cs="Times New Roman"/>
                <w:color w:val="0066CC"/>
                <w:sz w:val="24"/>
                <w:szCs w:val="24"/>
              </w:rPr>
            </w:pPr>
            <w:hyperlink r:id="rId979" w:history="1">
              <w:r w:rsidR="00A11163" w:rsidRPr="004567E2">
                <w:rPr>
                  <w:rStyle w:val="Hyperlink"/>
                  <w:rFonts w:ascii="Times New Roman" w:hAnsi="Times New Roman" w:cs="Times New Roman"/>
                  <w:bCs/>
                  <w:sz w:val="24"/>
                  <w:szCs w:val="24"/>
                </w:rPr>
                <w:t>Regional Workshop on Telecom Numbering Planning and Policies for Arab and Africa Region</w:t>
              </w:r>
            </w:hyperlink>
            <w:r w:rsidR="00A11163" w:rsidRPr="004567E2">
              <w:rPr>
                <w:rStyle w:val="Strong"/>
                <w:rFonts w:ascii="Times New Roman" w:hAnsi="Times New Roman" w:cs="Times New Roman"/>
                <w:sz w:val="24"/>
                <w:szCs w:val="24"/>
              </w:rPr>
              <w:t xml:space="preserve">, </w:t>
            </w:r>
            <w:r w:rsidR="00A11163" w:rsidRPr="004567E2">
              <w:rPr>
                <w:rFonts w:ascii="Times New Roman" w:hAnsi="Times New Roman" w:cs="Times New Roman"/>
                <w:sz w:val="24"/>
                <w:szCs w:val="24"/>
              </w:rPr>
              <w:t>Tunis, Tunisia, 25 April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 C3,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9.c, 17.6, </w:t>
            </w:r>
            <w:r w:rsidRPr="004567E2">
              <w:rPr>
                <w:rFonts w:ascii="Times New Roman" w:hAnsi="Times New Roman" w:cs="Times New Roman"/>
                <w:sz w:val="24"/>
                <w:szCs w:val="24"/>
              </w:rPr>
              <w:t>9.1, 17.16, 17.17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Style w:val="Strong"/>
                <w:rFonts w:ascii="Times New Roman" w:hAnsi="Times New Roman" w:cs="Times New Roman"/>
                <w:sz w:val="24"/>
                <w:szCs w:val="24"/>
              </w:rPr>
            </w:pPr>
            <w:hyperlink r:id="rId980" w:history="1">
              <w:r w:rsidR="00A11163" w:rsidRPr="004567E2">
                <w:rPr>
                  <w:rStyle w:val="Hyperlink"/>
                  <w:rFonts w:ascii="Times New Roman" w:hAnsi="Times New Roman" w:cs="Times New Roman"/>
                  <w:bCs/>
                  <w:sz w:val="24"/>
                  <w:szCs w:val="24"/>
                </w:rPr>
                <w:t>Workshop “Impact of AI on ICT Infrastructures”</w:t>
              </w:r>
            </w:hyperlink>
            <w:r w:rsidR="00A11163" w:rsidRPr="004567E2">
              <w:rPr>
                <w:rStyle w:val="Strong"/>
                <w:rFonts w:ascii="Times New Roman" w:hAnsi="Times New Roman" w:cs="Times New Roman"/>
                <w:sz w:val="24"/>
                <w:szCs w:val="24"/>
              </w:rPr>
              <w:t xml:space="preserve">, </w:t>
            </w:r>
            <w:r w:rsidR="00A11163" w:rsidRPr="004567E2">
              <w:rPr>
                <w:rStyle w:val="Strong"/>
                <w:rFonts w:ascii="Times New Roman" w:hAnsi="Times New Roman" w:cs="Times New Roman"/>
                <w:b w:val="0"/>
                <w:bCs w:val="0"/>
                <w:sz w:val="24"/>
                <w:szCs w:val="24"/>
              </w:rPr>
              <w:t>Xian, China, 25 April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9.c, 17.6, </w:t>
            </w:r>
            <w:r w:rsidRPr="004567E2">
              <w:rPr>
                <w:rFonts w:ascii="Times New Roman" w:hAnsi="Times New Roman" w:cs="Times New Roman"/>
                <w:sz w:val="24"/>
                <w:szCs w:val="24"/>
              </w:rPr>
              <w:t>9.1, 17.16, 17.17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Style w:val="Strong"/>
                <w:rFonts w:ascii="Times New Roman" w:hAnsi="Times New Roman" w:cs="Times New Roman"/>
                <w:sz w:val="24"/>
                <w:szCs w:val="24"/>
              </w:rPr>
            </w:pPr>
            <w:hyperlink r:id="rId981" w:history="1">
              <w:r w:rsidR="00A11163" w:rsidRPr="004567E2">
                <w:rPr>
                  <w:rStyle w:val="Strong"/>
                  <w:rFonts w:ascii="Times New Roman" w:hAnsi="Times New Roman" w:cs="Times New Roman"/>
                  <w:b w:val="0"/>
                  <w:color w:val="0000FF"/>
                  <w:sz w:val="24"/>
                  <w:szCs w:val="24"/>
                  <w:u w:val="single"/>
                </w:rPr>
                <w:t>Forum on Exploring the Potential of Artificial Intelligence and Internet of Things</w:t>
              </w:r>
            </w:hyperlink>
            <w:r w:rsidR="00A11163" w:rsidRPr="004567E2">
              <w:rPr>
                <w:rFonts w:ascii="Times New Roman" w:hAnsi="Times New Roman" w:cs="Times New Roman"/>
                <w:sz w:val="24"/>
                <w:szCs w:val="24"/>
              </w:rPr>
              <w:t>, Cairo, Egypt, 6 May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9.c, 17.6, </w:t>
            </w:r>
            <w:r w:rsidRPr="004567E2">
              <w:rPr>
                <w:rFonts w:ascii="Times New Roman" w:hAnsi="Times New Roman" w:cs="Times New Roman"/>
                <w:sz w:val="24"/>
                <w:szCs w:val="24"/>
              </w:rPr>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b/>
                <w:sz w:val="24"/>
                <w:szCs w:val="24"/>
                <w:u w:val="single"/>
              </w:rPr>
            </w:pPr>
            <w:hyperlink r:id="rId982" w:history="1">
              <w:r w:rsidR="00A11163" w:rsidRPr="004567E2">
                <w:rPr>
                  <w:rStyle w:val="Strong"/>
                  <w:rFonts w:ascii="Times New Roman" w:hAnsi="Times New Roman" w:cs="Times New Roman"/>
                  <w:b w:val="0"/>
                  <w:color w:val="0000FF"/>
                  <w:sz w:val="24"/>
                  <w:szCs w:val="24"/>
                  <w:u w:val="single"/>
                </w:rPr>
                <w:t>The Bridging the Standardization Gap Session on IoT (Training on IoT)</w:t>
              </w:r>
            </w:hyperlink>
            <w:r w:rsidR="00A11163" w:rsidRPr="004567E2">
              <w:rPr>
                <w:rFonts w:ascii="Times New Roman" w:hAnsi="Times New Roman" w:cs="Times New Roman"/>
                <w:b/>
                <w:sz w:val="24"/>
                <w:szCs w:val="24"/>
              </w:rPr>
              <w:t>,</w:t>
            </w:r>
            <w:r w:rsidR="00A11163" w:rsidRPr="004567E2">
              <w:rPr>
                <w:rFonts w:ascii="Times New Roman" w:hAnsi="Times New Roman" w:cs="Times New Roman"/>
                <w:sz w:val="24"/>
                <w:szCs w:val="24"/>
              </w:rPr>
              <w:t xml:space="preserve"> Cairo, Egypt, 6 May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9.c, 17.6, </w:t>
            </w:r>
            <w:r w:rsidRPr="004567E2">
              <w:rPr>
                <w:rFonts w:ascii="Times New Roman" w:hAnsi="Times New Roman" w:cs="Times New Roman"/>
                <w:sz w:val="24"/>
                <w:szCs w:val="24"/>
              </w:rPr>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b/>
                <w:sz w:val="24"/>
                <w:szCs w:val="24"/>
                <w:u w:val="single"/>
              </w:rPr>
            </w:pPr>
            <w:hyperlink r:id="rId983" w:history="1">
              <w:r w:rsidR="00A11163" w:rsidRPr="004567E2">
                <w:rPr>
                  <w:rStyle w:val="Hyperlink"/>
                  <w:rFonts w:ascii="Times New Roman" w:hAnsi="Times New Roman" w:cs="Times New Roman"/>
                  <w:sz w:val="24"/>
                  <w:szCs w:val="24"/>
                </w:rPr>
                <w:t>ITU Regional Forum on “Internet of Things, Telecommunication Networks and Big Data as basic infrastructure for Digital Economy”,</w:t>
              </w:r>
            </w:hyperlink>
            <w:r w:rsidR="00A11163" w:rsidRPr="004567E2">
              <w:rPr>
                <w:rFonts w:ascii="Times New Roman" w:hAnsi="Times New Roman" w:cs="Times New Roman"/>
                <w:color w:val="444444"/>
                <w:sz w:val="24"/>
                <w:szCs w:val="24"/>
              </w:rPr>
              <w:t xml:space="preserve"> </w:t>
            </w:r>
            <w:r w:rsidR="00A11163" w:rsidRPr="004567E2">
              <w:rPr>
                <w:rFonts w:ascii="Times New Roman" w:hAnsi="Times New Roman" w:cs="Times New Roman"/>
                <w:sz w:val="24"/>
                <w:szCs w:val="24"/>
              </w:rPr>
              <w:t>Saint-Petersburg, Russian Federation, 4-6 June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9.c, 17.6, </w:t>
            </w:r>
            <w:r w:rsidRPr="004567E2">
              <w:rPr>
                <w:rFonts w:ascii="Times New Roman" w:hAnsi="Times New Roman" w:cs="Times New Roman"/>
                <w:sz w:val="24"/>
                <w:szCs w:val="24"/>
              </w:rPr>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Style w:val="Strong"/>
                <w:rFonts w:ascii="Times New Roman" w:hAnsi="Times New Roman" w:cs="Times New Roman"/>
                <w:b w:val="0"/>
                <w:sz w:val="24"/>
                <w:szCs w:val="24"/>
              </w:rPr>
            </w:pPr>
            <w:hyperlink r:id="rId984" w:history="1">
              <w:r w:rsidR="00A11163" w:rsidRPr="004567E2">
                <w:rPr>
                  <w:rStyle w:val="Strong"/>
                  <w:rFonts w:ascii="Times New Roman" w:hAnsi="Times New Roman" w:cs="Times New Roman"/>
                  <w:b w:val="0"/>
                  <w:color w:val="0000CC"/>
                  <w:sz w:val="24"/>
                  <w:szCs w:val="24"/>
                  <w:u w:val="single"/>
                  <w:shd w:val="clear" w:color="auto" w:fill="FFFFFF"/>
                </w:rPr>
                <w:t>4th Asia-Pacific Forum on Smart Sustainable Cities and e-Government 2018</w:t>
              </w:r>
            </w:hyperlink>
            <w:r w:rsidR="00A11163" w:rsidRPr="004567E2">
              <w:rPr>
                <w:rFonts w:ascii="Times New Roman" w:hAnsi="Times New Roman" w:cs="Times New Roman"/>
                <w:color w:val="444444"/>
                <w:sz w:val="24"/>
                <w:szCs w:val="24"/>
              </w:rPr>
              <w:t xml:space="preserve">, </w:t>
            </w:r>
            <w:r w:rsidR="00A11163" w:rsidRPr="004567E2">
              <w:rPr>
                <w:rFonts w:ascii="Times New Roman" w:hAnsi="Times New Roman" w:cs="Times New Roman"/>
                <w:sz w:val="24"/>
                <w:szCs w:val="24"/>
                <w:shd w:val="clear" w:color="auto" w:fill="FFFFFF"/>
              </w:rPr>
              <w:t>Thanh Hoa City, Vietnam, 4-6 July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9.c, 11.2, 11.3, 11.5, 11.6, 11.b, 17.6, </w:t>
            </w:r>
            <w:r w:rsidRPr="004567E2">
              <w:rPr>
                <w:rFonts w:ascii="Times New Roman" w:hAnsi="Times New Roman" w:cs="Times New Roman"/>
                <w:sz w:val="24"/>
                <w:szCs w:val="24"/>
              </w:rPr>
              <w:lastRenderedPageBreak/>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b/>
                <w:color w:val="0000CC"/>
                <w:sz w:val="24"/>
                <w:szCs w:val="24"/>
                <w:u w:val="single"/>
              </w:rPr>
            </w:pPr>
            <w:hyperlink r:id="rId985" w:history="1">
              <w:r w:rsidR="00A11163" w:rsidRPr="004567E2">
                <w:rPr>
                  <w:rStyle w:val="Strong"/>
                  <w:rFonts w:ascii="Times New Roman" w:hAnsi="Times New Roman" w:cs="Times New Roman"/>
                  <w:b w:val="0"/>
                  <w:color w:val="0000CC"/>
                  <w:sz w:val="24"/>
                  <w:szCs w:val="24"/>
                  <w:u w:val="single"/>
                  <w:shd w:val="clear" w:color="auto" w:fill="FFFFFF"/>
                </w:rPr>
                <w:t>ITU Workshop on "Multimedia applications and the future of digital society"</w:t>
              </w:r>
            </w:hyperlink>
            <w:r w:rsidR="00A11163" w:rsidRPr="004567E2">
              <w:rPr>
                <w:rFonts w:ascii="Times New Roman" w:hAnsi="Times New Roman" w:cs="Times New Roman"/>
                <w:sz w:val="24"/>
                <w:szCs w:val="24"/>
              </w:rPr>
              <w:t xml:space="preserve">, </w:t>
            </w:r>
            <w:r w:rsidR="00A11163" w:rsidRPr="004567E2">
              <w:rPr>
                <w:rFonts w:ascii="Times New Roman" w:hAnsi="Times New Roman" w:cs="Times New Roman"/>
                <w:sz w:val="24"/>
                <w:szCs w:val="24"/>
                <w:shd w:val="clear" w:color="auto" w:fill="FFFFFF"/>
              </w:rPr>
              <w:t>Ljubljana, Slovenia, 9 July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9.c, 17.6, </w:t>
            </w:r>
            <w:r w:rsidRPr="004567E2">
              <w:rPr>
                <w:rFonts w:ascii="Times New Roman" w:hAnsi="Times New Roman" w:cs="Times New Roman"/>
                <w:sz w:val="24"/>
                <w:szCs w:val="24"/>
              </w:rPr>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b/>
                <w:color w:val="0000CC"/>
                <w:sz w:val="24"/>
                <w:szCs w:val="24"/>
                <w:u w:val="single"/>
              </w:rPr>
            </w:pPr>
            <w:hyperlink r:id="rId986" w:history="1">
              <w:r w:rsidR="00A11163" w:rsidRPr="004567E2">
                <w:rPr>
                  <w:rStyle w:val="Strong"/>
                  <w:rFonts w:ascii="Times New Roman" w:hAnsi="Times New Roman" w:cs="Times New Roman"/>
                  <w:b w:val="0"/>
                  <w:color w:val="0000FF"/>
                  <w:sz w:val="24"/>
                  <w:szCs w:val="24"/>
                  <w:u w:val="single"/>
                </w:rPr>
                <w:t>ITU Workshop on Standardizing Digital Fiat Currency (DFC) and its Applications</w:t>
              </w:r>
            </w:hyperlink>
            <w:r w:rsidR="00A11163" w:rsidRPr="004567E2">
              <w:rPr>
                <w:rFonts w:ascii="Times New Roman" w:hAnsi="Times New Roman" w:cs="Times New Roman"/>
                <w:sz w:val="24"/>
                <w:szCs w:val="24"/>
              </w:rPr>
              <w:t>, New York City, United States, 18-19 July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8.10, 9.1, 9.c, 17.6, </w:t>
            </w:r>
            <w:r w:rsidRPr="004567E2">
              <w:rPr>
                <w:rFonts w:ascii="Times New Roman" w:hAnsi="Times New Roman" w:cs="Times New Roman"/>
                <w:sz w:val="24"/>
                <w:szCs w:val="24"/>
              </w:rPr>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b/>
                <w:sz w:val="24"/>
                <w:szCs w:val="24"/>
                <w:u w:val="single"/>
              </w:rPr>
            </w:pPr>
            <w:hyperlink r:id="rId987" w:history="1">
              <w:r w:rsidR="00A11163" w:rsidRPr="004567E2">
                <w:rPr>
                  <w:rStyle w:val="Strong"/>
                  <w:rFonts w:ascii="Times New Roman" w:hAnsi="Times New Roman" w:cs="Times New Roman"/>
                  <w:b w:val="0"/>
                  <w:color w:val="0000FF"/>
                  <w:sz w:val="24"/>
                  <w:szCs w:val="24"/>
                  <w:u w:val="single"/>
                </w:rPr>
                <w:t>ITU Workshop on Global approaches on combating counterfeiting and stolen ICT devices</w:t>
              </w:r>
            </w:hyperlink>
            <w:r w:rsidR="00A11163" w:rsidRPr="004567E2">
              <w:rPr>
                <w:rFonts w:ascii="Times New Roman" w:hAnsi="Times New Roman" w:cs="Times New Roman"/>
                <w:sz w:val="24"/>
                <w:szCs w:val="24"/>
              </w:rPr>
              <w:t>, Geneva, Switzerland, 23 July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C5,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9.c, 17.6, </w:t>
            </w:r>
            <w:r w:rsidRPr="004567E2">
              <w:rPr>
                <w:rFonts w:ascii="Times New Roman" w:hAnsi="Times New Roman" w:cs="Times New Roman"/>
                <w:sz w:val="24"/>
                <w:szCs w:val="24"/>
              </w:rPr>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b/>
                <w:sz w:val="24"/>
                <w:szCs w:val="24"/>
                <w:u w:val="single"/>
              </w:rPr>
            </w:pPr>
            <w:hyperlink r:id="rId988" w:history="1">
              <w:r w:rsidR="00A11163" w:rsidRPr="004567E2">
                <w:rPr>
                  <w:rStyle w:val="Strong"/>
                  <w:rFonts w:ascii="Times New Roman" w:hAnsi="Times New Roman" w:cs="Times New Roman"/>
                  <w:b w:val="0"/>
                  <w:color w:val="0000FF"/>
                  <w:sz w:val="24"/>
                  <w:szCs w:val="24"/>
                  <w:u w:val="single"/>
                </w:rPr>
                <w:t>ITU Workshop on "Machine Learning for 5G and beyond"</w:t>
              </w:r>
            </w:hyperlink>
            <w:r w:rsidR="00A11163" w:rsidRPr="004567E2">
              <w:rPr>
                <w:rFonts w:ascii="Times New Roman" w:hAnsi="Times New Roman" w:cs="Times New Roman"/>
                <w:sz w:val="24"/>
                <w:szCs w:val="24"/>
              </w:rPr>
              <w:t>, San Jose, United States, 7 August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9.c, 17.6, </w:t>
            </w:r>
            <w:r w:rsidRPr="004567E2">
              <w:rPr>
                <w:rFonts w:ascii="Times New Roman" w:hAnsi="Times New Roman" w:cs="Times New Roman"/>
                <w:sz w:val="24"/>
                <w:szCs w:val="24"/>
              </w:rPr>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b/>
                <w:sz w:val="24"/>
                <w:szCs w:val="24"/>
                <w:u w:val="single"/>
              </w:rPr>
            </w:pPr>
            <w:hyperlink r:id="rId989" w:history="1">
              <w:r w:rsidR="00A11163" w:rsidRPr="004567E2">
                <w:rPr>
                  <w:rStyle w:val="Strong"/>
                  <w:rFonts w:ascii="Times New Roman" w:hAnsi="Times New Roman" w:cs="Times New Roman"/>
                  <w:b w:val="0"/>
                  <w:color w:val="0000FF"/>
                  <w:sz w:val="24"/>
                  <w:szCs w:val="24"/>
                  <w:u w:val="single"/>
                </w:rPr>
                <w:t>ITU Regional Standardization Forum on Emerging Economic, Regulatory and Policy Trends in a Fast-Changing Digital World</w:t>
              </w:r>
            </w:hyperlink>
            <w:r w:rsidR="00A11163" w:rsidRPr="004567E2">
              <w:rPr>
                <w:rFonts w:ascii="Times New Roman" w:hAnsi="Times New Roman" w:cs="Times New Roman"/>
                <w:sz w:val="24"/>
                <w:szCs w:val="24"/>
              </w:rPr>
              <w:t>, Xi'an, China, 27 August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9.c, 17.6, </w:t>
            </w:r>
            <w:r w:rsidRPr="004567E2">
              <w:rPr>
                <w:rFonts w:ascii="Times New Roman" w:hAnsi="Times New Roman" w:cs="Times New Roman"/>
                <w:sz w:val="24"/>
                <w:szCs w:val="24"/>
              </w:rPr>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b/>
                <w:sz w:val="24"/>
                <w:szCs w:val="24"/>
                <w:u w:val="single"/>
              </w:rPr>
            </w:pPr>
            <w:hyperlink r:id="rId990" w:history="1">
              <w:r w:rsidR="00A11163" w:rsidRPr="004567E2">
                <w:rPr>
                  <w:rStyle w:val="Strong"/>
                  <w:rFonts w:ascii="Times New Roman" w:hAnsi="Times New Roman" w:cs="Times New Roman"/>
                  <w:b w:val="0"/>
                  <w:color w:val="0000FF"/>
                  <w:sz w:val="24"/>
                  <w:szCs w:val="24"/>
                  <w:u w:val="single"/>
                </w:rPr>
                <w:t>ITU Workshop on Advanced Cybersecurity Attacks and Ransomware</w:t>
              </w:r>
            </w:hyperlink>
            <w:r w:rsidR="00A11163" w:rsidRPr="004567E2">
              <w:rPr>
                <w:rFonts w:ascii="Times New Roman" w:hAnsi="Times New Roman" w:cs="Times New Roman"/>
                <w:sz w:val="24"/>
                <w:szCs w:val="24"/>
              </w:rPr>
              <w:t>, Geneva, Switzerland, 28 August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C5,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9.c, 17.6, </w:t>
            </w:r>
            <w:r w:rsidRPr="004567E2">
              <w:rPr>
                <w:rFonts w:ascii="Times New Roman" w:hAnsi="Times New Roman" w:cs="Times New Roman"/>
                <w:sz w:val="24"/>
                <w:szCs w:val="24"/>
              </w:rPr>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b/>
                <w:sz w:val="24"/>
                <w:szCs w:val="24"/>
                <w:u w:val="single"/>
              </w:rPr>
            </w:pPr>
            <w:hyperlink r:id="rId991" w:history="1">
              <w:r w:rsidR="00A11163" w:rsidRPr="004567E2">
                <w:rPr>
                  <w:rStyle w:val="Strong"/>
                  <w:rFonts w:ascii="Times New Roman" w:hAnsi="Times New Roman" w:cs="Times New Roman"/>
                  <w:b w:val="0"/>
                  <w:color w:val="0000FF"/>
                  <w:sz w:val="24"/>
                  <w:szCs w:val="24"/>
                  <w:u w:val="single"/>
                </w:rPr>
                <w:t>ITU Workshop on Telecommunication Service Quality</w:t>
              </w:r>
            </w:hyperlink>
            <w:r w:rsidR="00A11163" w:rsidRPr="004567E2">
              <w:rPr>
                <w:rFonts w:ascii="Times New Roman" w:hAnsi="Times New Roman" w:cs="Times New Roman"/>
                <w:sz w:val="24"/>
                <w:szCs w:val="24"/>
              </w:rPr>
              <w:t>, Istanbul,Turkey, 3-4 September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9.c, 17.6, </w:t>
            </w:r>
            <w:r w:rsidRPr="004567E2">
              <w:rPr>
                <w:rFonts w:ascii="Times New Roman" w:hAnsi="Times New Roman" w:cs="Times New Roman"/>
                <w:sz w:val="24"/>
                <w:szCs w:val="24"/>
              </w:rPr>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b/>
                <w:sz w:val="24"/>
                <w:szCs w:val="24"/>
                <w:u w:val="single"/>
              </w:rPr>
            </w:pPr>
            <w:hyperlink r:id="rId992" w:history="1">
              <w:r w:rsidR="00A11163" w:rsidRPr="004567E2">
                <w:rPr>
                  <w:rStyle w:val="Strong"/>
                  <w:rFonts w:ascii="Times New Roman" w:hAnsi="Times New Roman" w:cs="Times New Roman"/>
                  <w:b w:val="0"/>
                  <w:color w:val="0000FF"/>
                  <w:sz w:val="24"/>
                  <w:szCs w:val="24"/>
                  <w:u w:val="single"/>
                </w:rPr>
                <w:t>Rise of the MVNOS- Leveraging MVNOs in an "everything connected world"</w:t>
              </w:r>
            </w:hyperlink>
            <w:r w:rsidR="00A11163" w:rsidRPr="004567E2">
              <w:rPr>
                <w:rFonts w:ascii="Times New Roman" w:hAnsi="Times New Roman" w:cs="Times New Roman"/>
                <w:sz w:val="24"/>
                <w:szCs w:val="24"/>
              </w:rPr>
              <w:t>, Durban, South Africa, 12 September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9.c, 17.6, </w:t>
            </w:r>
            <w:r w:rsidRPr="004567E2">
              <w:rPr>
                <w:rFonts w:ascii="Times New Roman" w:hAnsi="Times New Roman" w:cs="Times New Roman"/>
                <w:sz w:val="24"/>
                <w:szCs w:val="24"/>
              </w:rPr>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b/>
                <w:sz w:val="24"/>
                <w:szCs w:val="24"/>
                <w:u w:val="single"/>
              </w:rPr>
            </w:pPr>
            <w:hyperlink r:id="rId993" w:history="1">
              <w:r w:rsidR="00A11163" w:rsidRPr="004567E2">
                <w:rPr>
                  <w:rStyle w:val="Strong"/>
                  <w:rFonts w:ascii="Times New Roman" w:hAnsi="Times New Roman" w:cs="Times New Roman"/>
                  <w:b w:val="0"/>
                  <w:color w:val="0000FF"/>
                  <w:sz w:val="24"/>
                  <w:szCs w:val="24"/>
                  <w:u w:val="single"/>
                </w:rPr>
                <w:t>Second ITU Workshop on Data Processing and Management for IoT and Smart Cities &amp; Communities</w:t>
              </w:r>
            </w:hyperlink>
            <w:r w:rsidR="00A11163" w:rsidRPr="004567E2">
              <w:rPr>
                <w:rFonts w:ascii="Times New Roman" w:hAnsi="Times New Roman" w:cs="Times New Roman"/>
                <w:sz w:val="24"/>
                <w:szCs w:val="24"/>
              </w:rPr>
              <w:t>, Tunis, Tunisia, 17 September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9.c, 11.2, 11.3, 11.5, 11.6, 11.b, 17.6, </w:t>
            </w:r>
            <w:r w:rsidRPr="004567E2">
              <w:rPr>
                <w:rFonts w:ascii="Times New Roman" w:hAnsi="Times New Roman" w:cs="Times New Roman"/>
                <w:sz w:val="24"/>
                <w:szCs w:val="24"/>
              </w:rPr>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b/>
                <w:sz w:val="24"/>
                <w:szCs w:val="24"/>
                <w:u w:val="single"/>
              </w:rPr>
            </w:pPr>
            <w:hyperlink r:id="rId994" w:history="1">
              <w:r w:rsidR="00A11163" w:rsidRPr="004567E2">
                <w:rPr>
                  <w:rStyle w:val="Strong"/>
                  <w:rFonts w:ascii="Times New Roman" w:hAnsi="Times New Roman" w:cs="Times New Roman"/>
                  <w:b w:val="0"/>
                  <w:color w:val="0000FF"/>
                  <w:sz w:val="24"/>
                  <w:szCs w:val="24"/>
                  <w:u w:val="single"/>
                </w:rPr>
                <w:t>First Workshop on Network 2030</w:t>
              </w:r>
            </w:hyperlink>
            <w:r w:rsidR="00A11163" w:rsidRPr="004567E2">
              <w:rPr>
                <w:rFonts w:ascii="Times New Roman" w:hAnsi="Times New Roman" w:cs="Times New Roman"/>
                <w:b/>
                <w:sz w:val="24"/>
                <w:szCs w:val="24"/>
                <w:u w:val="single"/>
              </w:rPr>
              <w:t>,</w:t>
            </w:r>
            <w:r w:rsidR="00A11163" w:rsidRPr="004567E2">
              <w:rPr>
                <w:rFonts w:ascii="Times New Roman" w:hAnsi="Times New Roman" w:cs="Times New Roman"/>
                <w:sz w:val="24"/>
                <w:szCs w:val="24"/>
              </w:rPr>
              <w:t xml:space="preserve"> New York City, United States, 2 October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9.c, 17.6, </w:t>
            </w:r>
            <w:r w:rsidRPr="004567E2">
              <w:rPr>
                <w:rFonts w:ascii="Times New Roman" w:hAnsi="Times New Roman" w:cs="Times New Roman"/>
                <w:sz w:val="24"/>
                <w:szCs w:val="24"/>
              </w:rPr>
              <w:lastRenderedPageBreak/>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b/>
                <w:sz w:val="24"/>
                <w:szCs w:val="24"/>
                <w:u w:val="single"/>
              </w:rPr>
            </w:pPr>
            <w:hyperlink r:id="rId995" w:history="1">
              <w:r w:rsidR="00A11163" w:rsidRPr="004567E2">
                <w:rPr>
                  <w:rStyle w:val="Strong"/>
                  <w:rFonts w:ascii="Times New Roman" w:hAnsi="Times New Roman" w:cs="Times New Roman"/>
                  <w:b w:val="0"/>
                  <w:color w:val="0000FF"/>
                  <w:sz w:val="24"/>
                  <w:szCs w:val="24"/>
                  <w:u w:val="single"/>
                </w:rPr>
                <w:t>ITU Forum "Towards 5G Enabled Gigabit Society"</w:t>
              </w:r>
            </w:hyperlink>
            <w:r w:rsidR="00A11163" w:rsidRPr="004567E2">
              <w:rPr>
                <w:rFonts w:ascii="Times New Roman" w:hAnsi="Times New Roman" w:cs="Times New Roman"/>
                <w:sz w:val="24"/>
                <w:szCs w:val="24"/>
              </w:rPr>
              <w:t>, Athens, Greece, 11-12 October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C6,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9.c, 17.6, </w:t>
            </w:r>
            <w:r w:rsidRPr="004567E2">
              <w:rPr>
                <w:rFonts w:ascii="Times New Roman" w:hAnsi="Times New Roman" w:cs="Times New Roman"/>
                <w:sz w:val="24"/>
                <w:szCs w:val="24"/>
              </w:rPr>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T.2-2</w:t>
            </w: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b/>
                <w:sz w:val="24"/>
                <w:szCs w:val="24"/>
                <w:u w:val="single"/>
              </w:rPr>
            </w:pPr>
            <w:r w:rsidRPr="004567E2">
              <w:rPr>
                <w:rStyle w:val="Strong"/>
                <w:rFonts w:ascii="Times New Roman" w:hAnsi="Times New Roman" w:cs="Times New Roman"/>
                <w:b w:val="0"/>
                <w:color w:val="0000FF"/>
                <w:sz w:val="24"/>
                <w:szCs w:val="24"/>
                <w:u w:val="single"/>
              </w:rPr>
              <w:t>ITU Forum on Artificial Intelligence, Internet of Things and Smart Cities,</w:t>
            </w:r>
            <w:r w:rsidRPr="004567E2">
              <w:rPr>
                <w:rStyle w:val="Strong"/>
                <w:rFonts w:ascii="Times New Roman" w:hAnsi="Times New Roman" w:cs="Times New Roman"/>
                <w:color w:val="0000FF"/>
                <w:sz w:val="24"/>
                <w:szCs w:val="24"/>
                <w:u w:val="single"/>
              </w:rPr>
              <w:t xml:space="preserve"> </w:t>
            </w:r>
            <w:r w:rsidRPr="004567E2">
              <w:rPr>
                <w:rStyle w:val="ms-rtethemeforecolor-2-0"/>
                <w:rFonts w:ascii="Times New Roman" w:hAnsi="Times New Roman" w:cs="Times New Roman"/>
                <w:sz w:val="24"/>
                <w:szCs w:val="24"/>
              </w:rPr>
              <w:t>Wuxi, China, 3 December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9.c, 11.2, 11.3, 11.5, 11.6, 11.b, 17.6, </w:t>
            </w:r>
            <w:r w:rsidRPr="004567E2">
              <w:rPr>
                <w:rFonts w:ascii="Times New Roman" w:hAnsi="Times New Roman" w:cs="Times New Roman"/>
                <w:sz w:val="24"/>
                <w:szCs w:val="24"/>
              </w:rPr>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p>
        </w:tc>
        <w:tc>
          <w:tcPr>
            <w:tcW w:w="756" w:type="dxa"/>
          </w:tcPr>
          <w:p w:rsidR="00A11163" w:rsidRPr="004567E2" w:rsidRDefault="00A11163" w:rsidP="00A11163">
            <w:pPr>
              <w:pStyle w:val="ListParagraph"/>
              <w:numPr>
                <w:ilvl w:val="0"/>
                <w:numId w:val="22"/>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p>
        </w:tc>
        <w:tc>
          <w:tcPr>
            <w:tcW w:w="8278" w:type="dxa"/>
          </w:tcPr>
          <w:p w:rsidR="00A11163" w:rsidRPr="004567E2" w:rsidRDefault="00A11163" w:rsidP="00A11163">
            <w:pPr>
              <w:rPr>
                <w:rFonts w:ascii="Times New Roman" w:hAnsi="Times New Roman" w:cs="Times New Roman"/>
                <w:b/>
                <w:color w:val="444444"/>
                <w:sz w:val="24"/>
                <w:szCs w:val="24"/>
                <w:u w:val="single"/>
                <w:shd w:val="clear" w:color="auto" w:fill="FFFFFF"/>
              </w:rPr>
            </w:pPr>
            <w:r w:rsidRPr="004567E2">
              <w:rPr>
                <w:rFonts w:ascii="Times New Roman" w:hAnsi="Times New Roman" w:cs="Times New Roman"/>
                <w:b/>
                <w:color w:val="444444"/>
                <w:sz w:val="24"/>
                <w:szCs w:val="24"/>
                <w:u w:val="single"/>
                <w:shd w:val="clear" w:color="auto" w:fill="FFFFFF"/>
              </w:rPr>
              <w:t>XXXXX</w:t>
            </w:r>
          </w:p>
        </w:tc>
        <w:tc>
          <w:tcPr>
            <w:tcW w:w="896" w:type="dxa"/>
          </w:tcPr>
          <w:p w:rsidR="00A11163" w:rsidRPr="004567E2" w:rsidRDefault="00A11163" w:rsidP="00A11163">
            <w:pPr>
              <w:rPr>
                <w:rFonts w:ascii="Times New Roman" w:hAnsi="Times New Roman" w:cs="Times New Roman"/>
                <w:bCs/>
                <w:color w:val="000000"/>
                <w:sz w:val="24"/>
                <w:szCs w:val="24"/>
              </w:rPr>
            </w:pPr>
          </w:p>
        </w:tc>
        <w:tc>
          <w:tcPr>
            <w:tcW w:w="936" w:type="dxa"/>
          </w:tcPr>
          <w:p w:rsidR="00A11163" w:rsidRPr="004567E2" w:rsidRDefault="00A11163" w:rsidP="00A11163">
            <w:pPr>
              <w:rPr>
                <w:rFonts w:ascii="Times New Roman" w:hAnsi="Times New Roman" w:cs="Times New Roman"/>
                <w:bCs/>
                <w:color w:val="000000"/>
                <w:sz w:val="24"/>
                <w:szCs w:val="24"/>
              </w:rPr>
            </w:pP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T.2-a</w:t>
            </w:r>
          </w:p>
        </w:tc>
        <w:tc>
          <w:tcPr>
            <w:tcW w:w="756" w:type="dxa"/>
          </w:tcPr>
          <w:p w:rsidR="00A11163" w:rsidRPr="004567E2" w:rsidRDefault="00A11163" w:rsidP="00A11163">
            <w:pPr>
              <w:pStyle w:val="ListParagraph"/>
              <w:numPr>
                <w:ilvl w:val="0"/>
                <w:numId w:val="23"/>
              </w:numPr>
              <w:contextualSpacing w:val="0"/>
              <w:rPr>
                <w:rFonts w:ascii="Times New Roman" w:hAnsi="Times New Roman" w:cs="Times New Roman"/>
                <w:bCs/>
                <w:color w:val="000000"/>
                <w:sz w:val="24"/>
                <w:szCs w:val="24"/>
              </w:rPr>
            </w:pPr>
          </w:p>
        </w:tc>
        <w:tc>
          <w:tcPr>
            <w:tcW w:w="2403" w:type="dxa"/>
          </w:tcPr>
          <w:p w:rsidR="00A11163" w:rsidRPr="007835EF" w:rsidRDefault="00A11163" w:rsidP="00A11163">
            <w:pPr>
              <w:rPr>
                <w:rFonts w:ascii="Times New Roman" w:hAnsi="Times New Roman" w:cs="Times New Roman"/>
                <w:bCs/>
                <w:color w:val="000000"/>
                <w:sz w:val="24"/>
                <w:szCs w:val="24"/>
                <w:lang w:val="fr-CH"/>
              </w:rPr>
            </w:pPr>
            <w:r w:rsidRPr="007835EF">
              <w:rPr>
                <w:rFonts w:ascii="Times New Roman" w:hAnsi="Times New Roman" w:cs="Times New Roman"/>
                <w:bCs/>
                <w:color w:val="000000"/>
                <w:sz w:val="24"/>
                <w:szCs w:val="24"/>
                <w:lang w:val="fr-CH"/>
              </w:rPr>
              <w:t>ITU-T FG DFS WS</w:t>
            </w:r>
          </w:p>
        </w:tc>
        <w:tc>
          <w:tcPr>
            <w:tcW w:w="8278"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sz w:val="24"/>
                <w:szCs w:val="24"/>
              </w:rPr>
              <w:t>On 13 December 2016 ITU hosted a seminar in London where the overall findings and key next steps of FG-DFS were discussed towards implementation.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sz w:val="24"/>
                <w:szCs w:val="24"/>
              </w:rPr>
              <w:t>C2, C3, C4, C5,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8.10, 9.1,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T.2-a</w:t>
            </w:r>
          </w:p>
        </w:tc>
        <w:tc>
          <w:tcPr>
            <w:tcW w:w="756" w:type="dxa"/>
          </w:tcPr>
          <w:p w:rsidR="00A11163" w:rsidRPr="004567E2" w:rsidRDefault="00A11163" w:rsidP="00A11163">
            <w:pPr>
              <w:pStyle w:val="ListParagraph"/>
              <w:numPr>
                <w:ilvl w:val="0"/>
                <w:numId w:val="23"/>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Fellowships</w:t>
            </w:r>
          </w:p>
        </w:tc>
        <w:tc>
          <w:tcPr>
            <w:tcW w:w="8278" w:type="dxa"/>
          </w:tcPr>
          <w:p w:rsidR="00A11163" w:rsidRPr="004567E2" w:rsidRDefault="00A11163" w:rsidP="00A11163">
            <w:pPr>
              <w:rPr>
                <w:rStyle w:val="Hyperlink"/>
                <w:rFonts w:ascii="Times New Roman" w:hAnsi="Times New Roman" w:cs="Times New Roman"/>
                <w:sz w:val="24"/>
                <w:szCs w:val="24"/>
              </w:rPr>
            </w:pPr>
            <w:r w:rsidRPr="004567E2">
              <w:rPr>
                <w:rFonts w:ascii="Times New Roman" w:hAnsi="Times New Roman" w:cs="Times New Roman"/>
                <w:bCs/>
                <w:color w:val="000000" w:themeColor="text1"/>
                <w:sz w:val="24"/>
                <w:szCs w:val="24"/>
              </w:rPr>
              <w:t xml:space="preserve">ITU-T has an ongoing track record of inviting experts from developing countries to ITU-T SG meetings, workshops etc. Also the Focus Group on Innovation </w:t>
            </w:r>
            <w:hyperlink r:id="rId996" w:history="1">
              <w:r w:rsidRPr="004567E2">
                <w:rPr>
                  <w:rStyle w:val="Hyperlink"/>
                  <w:rFonts w:ascii="Times New Roman" w:hAnsi="Times New Roman" w:cs="Times New Roman"/>
                  <w:bCs/>
                  <w:sz w:val="24"/>
                  <w:szCs w:val="24"/>
                </w:rPr>
                <w:t>http://www.itu.int/en/ITU-T/focusgroups/innovation/Pages/default.aspx</w:t>
              </w:r>
            </w:hyperlink>
            <w:r w:rsidRPr="004567E2">
              <w:rPr>
                <w:rFonts w:ascii="Times New Roman" w:hAnsi="Times New Roman" w:cs="Times New Roman"/>
                <w:bCs/>
                <w:color w:val="000000" w:themeColor="text1"/>
                <w:sz w:val="24"/>
                <w:szCs w:val="24"/>
              </w:rPr>
              <w:t xml:space="preserve"> studied cases of ICT innovations for developing countries and developed proposals for new Standardization Activities for ITU-T Study Groups and the ICT Innovation Panel.</w:t>
            </w:r>
          </w:p>
        </w:tc>
        <w:tc>
          <w:tcPr>
            <w:tcW w:w="896" w:type="dxa"/>
          </w:tcPr>
          <w:p w:rsidR="00A11163" w:rsidRPr="004567E2" w:rsidRDefault="00A11163" w:rsidP="00A11163">
            <w:pPr>
              <w:rPr>
                <w:rFonts w:ascii="Times New Roman" w:hAnsi="Times New Roman" w:cs="Times New Roman"/>
                <w:color w:val="000000"/>
                <w:sz w:val="24"/>
                <w:szCs w:val="24"/>
              </w:rPr>
            </w:pPr>
            <w:r w:rsidRPr="004567E2">
              <w:rPr>
                <w:rFonts w:ascii="Times New Roman" w:hAnsi="Times New Roman" w:cs="Times New Roman"/>
                <w:color w:val="000000"/>
                <w:sz w:val="24"/>
                <w:szCs w:val="24"/>
              </w:rPr>
              <w:t>C1, C2, C3,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9.1, 17.9</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T.2-b</w:t>
            </w:r>
          </w:p>
        </w:tc>
        <w:tc>
          <w:tcPr>
            <w:tcW w:w="75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1</w:t>
            </w: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NSS</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r w:rsidRPr="004567E2">
              <w:rPr>
                <w:rFonts w:ascii="Times New Roman" w:hAnsi="Times New Roman" w:cs="Times New Roman"/>
                <w:sz w:val="24"/>
                <w:szCs w:val="24"/>
              </w:rPr>
              <w:t>National Standardization Secretariat (NSS): TSB provided technical assistance to Zambia ICT Authority to undertake an assessment of its NSS.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17.9</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T.3-a</w:t>
            </w:r>
          </w:p>
        </w:tc>
        <w:tc>
          <w:tcPr>
            <w:tcW w:w="756" w:type="dxa"/>
          </w:tcPr>
          <w:p w:rsidR="00A11163" w:rsidRPr="004567E2" w:rsidRDefault="00A11163" w:rsidP="00A11163">
            <w:pPr>
              <w:pStyle w:val="ListParagraph"/>
              <w:numPr>
                <w:ilvl w:val="0"/>
                <w:numId w:val="24"/>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INR DB</w:t>
            </w:r>
          </w:p>
        </w:tc>
        <w:tc>
          <w:tcPr>
            <w:tcW w:w="8278" w:type="dxa"/>
          </w:tcPr>
          <w:p w:rsidR="00A11163" w:rsidRPr="004567E2" w:rsidRDefault="00A11163" w:rsidP="00A11163">
            <w:pPr>
              <w:widowControl w:val="0"/>
              <w:rPr>
                <w:rFonts w:ascii="Times New Roman" w:hAnsi="Times New Roman" w:cs="Times New Roman"/>
                <w:sz w:val="24"/>
                <w:szCs w:val="24"/>
              </w:rPr>
            </w:pPr>
            <w:r w:rsidRPr="004567E2">
              <w:rPr>
                <w:rFonts w:ascii="Times New Roman" w:hAnsi="Times New Roman" w:cs="Times New Roman"/>
                <w:sz w:val="24"/>
                <w:szCs w:val="24"/>
              </w:rPr>
              <w:t>The INR database has undergone a major revamp, including the presentation of a more intuitive user interface. The database includes numbers and codes allocated in accordance with:</w:t>
            </w:r>
          </w:p>
          <w:p w:rsidR="00A11163" w:rsidRPr="004567E2" w:rsidRDefault="00A11163" w:rsidP="00A11163">
            <w:pPr>
              <w:pStyle w:val="ListParagraph"/>
              <w:widowControl w:val="0"/>
              <w:numPr>
                <w:ilvl w:val="0"/>
                <w:numId w:val="15"/>
              </w:numPr>
              <w:contextualSpacing w:val="0"/>
              <w:rPr>
                <w:rFonts w:ascii="Times New Roman" w:hAnsi="Times New Roman" w:cs="Times New Roman"/>
                <w:sz w:val="24"/>
                <w:szCs w:val="24"/>
              </w:rPr>
            </w:pPr>
            <w:r w:rsidRPr="004567E2">
              <w:rPr>
                <w:rFonts w:ascii="Times New Roman" w:hAnsi="Times New Roman" w:cs="Times New Roman"/>
                <w:sz w:val="24"/>
                <w:szCs w:val="24"/>
              </w:rPr>
              <w:t>ITU-T E.164 “The international public telecommunication numbering plan”</w:t>
            </w:r>
          </w:p>
          <w:p w:rsidR="00A11163" w:rsidRPr="004567E2" w:rsidRDefault="00A11163" w:rsidP="00A11163">
            <w:pPr>
              <w:pStyle w:val="ListParagraph"/>
              <w:widowControl w:val="0"/>
              <w:numPr>
                <w:ilvl w:val="0"/>
                <w:numId w:val="15"/>
              </w:numPr>
              <w:contextualSpacing w:val="0"/>
              <w:rPr>
                <w:rFonts w:ascii="Times New Roman" w:hAnsi="Times New Roman" w:cs="Times New Roman"/>
                <w:sz w:val="24"/>
                <w:szCs w:val="24"/>
              </w:rPr>
            </w:pPr>
            <w:r w:rsidRPr="004567E2">
              <w:rPr>
                <w:rFonts w:ascii="Times New Roman" w:hAnsi="Times New Roman" w:cs="Times New Roman"/>
                <w:sz w:val="24"/>
                <w:szCs w:val="24"/>
              </w:rPr>
              <w:t>ITU-T E.118 “The international telecommunication charge card”</w:t>
            </w:r>
          </w:p>
          <w:p w:rsidR="00A11163" w:rsidRPr="004567E2" w:rsidRDefault="00A11163" w:rsidP="00A11163">
            <w:pPr>
              <w:pStyle w:val="ListParagraph"/>
              <w:widowControl w:val="0"/>
              <w:numPr>
                <w:ilvl w:val="0"/>
                <w:numId w:val="15"/>
              </w:numPr>
              <w:contextualSpacing w:val="0"/>
              <w:rPr>
                <w:rFonts w:ascii="Times New Roman" w:hAnsi="Times New Roman" w:cs="Times New Roman"/>
                <w:sz w:val="24"/>
                <w:szCs w:val="24"/>
              </w:rPr>
            </w:pPr>
            <w:r w:rsidRPr="004567E2">
              <w:rPr>
                <w:rFonts w:ascii="Times New Roman" w:hAnsi="Times New Roman" w:cs="Times New Roman"/>
                <w:sz w:val="24"/>
                <w:szCs w:val="24"/>
              </w:rPr>
              <w:t>ITU-T E.212 “The international identification plan for public networks and subscriptions”</w:t>
            </w:r>
          </w:p>
          <w:p w:rsidR="00A11163" w:rsidRPr="004567E2" w:rsidRDefault="00A11163" w:rsidP="00A11163">
            <w:pPr>
              <w:pStyle w:val="ListParagraph"/>
              <w:widowControl w:val="0"/>
              <w:numPr>
                <w:ilvl w:val="0"/>
                <w:numId w:val="15"/>
              </w:numPr>
              <w:contextualSpacing w:val="0"/>
              <w:rPr>
                <w:rFonts w:ascii="Times New Roman" w:hAnsi="Times New Roman" w:cs="Times New Roman"/>
                <w:sz w:val="24"/>
                <w:szCs w:val="24"/>
              </w:rPr>
            </w:pPr>
            <w:r w:rsidRPr="004567E2">
              <w:rPr>
                <w:rFonts w:ascii="Times New Roman" w:hAnsi="Times New Roman" w:cs="Times New Roman"/>
                <w:sz w:val="24"/>
                <w:szCs w:val="24"/>
              </w:rPr>
              <w:t>ITU-T E.218 “Management of the allocation of terrestrial trunk radio Mobile Country Codes”</w:t>
            </w:r>
          </w:p>
          <w:p w:rsidR="00A11163" w:rsidRPr="004567E2" w:rsidRDefault="00A11163" w:rsidP="00A11163">
            <w:pPr>
              <w:pStyle w:val="ListParagraph"/>
              <w:widowControl w:val="0"/>
              <w:numPr>
                <w:ilvl w:val="0"/>
                <w:numId w:val="15"/>
              </w:numPr>
              <w:contextualSpacing w:val="0"/>
              <w:rPr>
                <w:rFonts w:ascii="Times New Roman" w:hAnsi="Times New Roman" w:cs="Times New Roman"/>
                <w:sz w:val="24"/>
                <w:szCs w:val="24"/>
              </w:rPr>
            </w:pPr>
            <w:r w:rsidRPr="004567E2">
              <w:rPr>
                <w:rFonts w:ascii="Times New Roman" w:hAnsi="Times New Roman" w:cs="Times New Roman"/>
                <w:sz w:val="24"/>
                <w:szCs w:val="24"/>
              </w:rPr>
              <w:t>ITU-T Q.708 “Assignment procedures for international signaling point codes”</w:t>
            </w:r>
          </w:p>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sz w:val="24"/>
                <w:szCs w:val="24"/>
              </w:rPr>
              <w:t xml:space="preserve">ITU members called on TSB to ‘streamline’ the process to report the misuse of INRs to make it as automatic as possible. The reporting mechanism has been redesigned to allow for a more user-friendly interface (available </w:t>
            </w:r>
            <w:hyperlink r:id="rId997" w:history="1">
              <w:r w:rsidRPr="004567E2">
                <w:rPr>
                  <w:rStyle w:val="Hyperlink"/>
                  <w:rFonts w:ascii="Times New Roman" w:hAnsi="Times New Roman" w:cs="Times New Roman"/>
                  <w:sz w:val="24"/>
                  <w:szCs w:val="24"/>
                </w:rPr>
                <w:t>here</w:t>
              </w:r>
            </w:hyperlink>
            <w:r w:rsidRPr="004567E2">
              <w:rPr>
                <w:rFonts w:ascii="Times New Roman" w:hAnsi="Times New Roman" w:cs="Times New Roman"/>
                <w:sz w:val="24"/>
                <w:szCs w:val="24"/>
              </w:rPr>
              <w: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C3</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T.3-a</w:t>
            </w:r>
          </w:p>
        </w:tc>
        <w:tc>
          <w:tcPr>
            <w:tcW w:w="756" w:type="dxa"/>
          </w:tcPr>
          <w:p w:rsidR="00A11163" w:rsidRPr="004567E2" w:rsidRDefault="00A11163" w:rsidP="00A11163">
            <w:pPr>
              <w:pStyle w:val="ListParagraph"/>
              <w:numPr>
                <w:ilvl w:val="0"/>
                <w:numId w:val="24"/>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NNA</w:t>
            </w:r>
          </w:p>
        </w:tc>
        <w:tc>
          <w:tcPr>
            <w:tcW w:w="8278"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Allocation and management of international telecommunication numbering, naming, addressing and identification resources in accordance with ITU-T recommendations and procedures</w:t>
            </w:r>
          </w:p>
          <w:p w:rsidR="00A11163" w:rsidRPr="004567E2" w:rsidRDefault="00A11163" w:rsidP="00A11163">
            <w:pPr>
              <w:widowControl w:val="0"/>
              <w:shd w:val="clear" w:color="auto" w:fill="FFFFFF"/>
              <w:rPr>
                <w:rFonts w:ascii="Times New Roman" w:eastAsia="Times New Roman" w:hAnsi="Times New Roman" w:cs="Times New Roman"/>
                <w:bCs/>
                <w:color w:val="000000" w:themeColor="text1"/>
                <w:sz w:val="24"/>
                <w:szCs w:val="24"/>
              </w:rPr>
            </w:pPr>
            <w:r w:rsidRPr="004567E2">
              <w:rPr>
                <w:rFonts w:ascii="Times New Roman" w:eastAsia="Times New Roman" w:hAnsi="Times New Roman" w:cs="Times New Roman"/>
                <w:bCs/>
                <w:color w:val="000000" w:themeColor="text1"/>
                <w:sz w:val="24"/>
                <w:szCs w:val="24"/>
              </w:rPr>
              <w:t>ITU-T is constantly promoting affordable access to ICT and Internet, through the development of standards and also within the following contexts:</w:t>
            </w:r>
          </w:p>
          <w:p w:rsidR="00A11163" w:rsidRPr="004567E2" w:rsidRDefault="00A11163" w:rsidP="00A11163">
            <w:pPr>
              <w:pStyle w:val="ListParagraph"/>
              <w:widowControl w:val="0"/>
              <w:numPr>
                <w:ilvl w:val="0"/>
                <w:numId w:val="1"/>
              </w:numPr>
              <w:shd w:val="clear" w:color="auto" w:fill="FFFFFF"/>
              <w:ind w:left="1137"/>
              <w:contextualSpacing w:val="0"/>
              <w:rPr>
                <w:rFonts w:ascii="Times New Roman" w:eastAsia="Times New Roman" w:hAnsi="Times New Roman" w:cs="Times New Roman"/>
                <w:bCs/>
                <w:color w:val="000000" w:themeColor="text1"/>
                <w:sz w:val="24"/>
                <w:szCs w:val="24"/>
                <w:lang w:val="en-GB"/>
              </w:rPr>
            </w:pPr>
            <w:r w:rsidRPr="004567E2">
              <w:rPr>
                <w:rFonts w:ascii="Times New Roman" w:eastAsia="Times New Roman" w:hAnsi="Times New Roman" w:cs="Times New Roman"/>
                <w:bCs/>
                <w:color w:val="000000" w:themeColor="text1"/>
                <w:sz w:val="24"/>
                <w:szCs w:val="24"/>
                <w:lang w:val="en-GB"/>
              </w:rPr>
              <w:t xml:space="preserve">IMT 2020/5G, smart </w:t>
            </w:r>
            <w:r w:rsidRPr="004567E2">
              <w:rPr>
                <w:rFonts w:ascii="Times New Roman" w:eastAsia="Malgun Gothic" w:hAnsi="Times New Roman" w:cs="Times New Roman"/>
                <w:bCs/>
                <w:color w:val="000000" w:themeColor="text1"/>
                <w:sz w:val="24"/>
                <w:szCs w:val="24"/>
                <w:lang w:val="en-GB" w:eastAsia="ko-KR"/>
              </w:rPr>
              <w:t xml:space="preserve">and future </w:t>
            </w:r>
            <w:r w:rsidRPr="004567E2">
              <w:rPr>
                <w:rFonts w:ascii="Times New Roman" w:eastAsia="Times New Roman" w:hAnsi="Times New Roman" w:cs="Times New Roman"/>
                <w:bCs/>
                <w:color w:val="000000" w:themeColor="text1"/>
                <w:sz w:val="24"/>
                <w:szCs w:val="24"/>
                <w:lang w:val="en-GB"/>
              </w:rPr>
              <w:t>networks</w:t>
            </w:r>
          </w:p>
          <w:p w:rsidR="00A11163" w:rsidRPr="004567E2" w:rsidRDefault="00A11163" w:rsidP="00A11163">
            <w:pPr>
              <w:pStyle w:val="ListParagraph"/>
              <w:widowControl w:val="0"/>
              <w:numPr>
                <w:ilvl w:val="0"/>
                <w:numId w:val="1"/>
              </w:numPr>
              <w:shd w:val="clear" w:color="auto" w:fill="FFFFFF"/>
              <w:ind w:left="1137"/>
              <w:contextualSpacing w:val="0"/>
              <w:rPr>
                <w:rFonts w:ascii="Times New Roman" w:eastAsia="Times New Roman" w:hAnsi="Times New Roman" w:cs="Times New Roman"/>
                <w:bCs/>
                <w:color w:val="000000" w:themeColor="text1"/>
                <w:sz w:val="24"/>
                <w:szCs w:val="24"/>
                <w:lang w:val="en-GB"/>
              </w:rPr>
            </w:pPr>
            <w:r w:rsidRPr="004567E2">
              <w:rPr>
                <w:rFonts w:ascii="Times New Roman" w:eastAsia="Times New Roman" w:hAnsi="Times New Roman" w:cs="Times New Roman"/>
                <w:bCs/>
                <w:color w:val="000000" w:themeColor="text1"/>
                <w:sz w:val="24"/>
                <w:szCs w:val="24"/>
                <w:lang w:val="en-GB"/>
              </w:rPr>
              <w:t>Broadband access and affordable optical networks</w:t>
            </w:r>
          </w:p>
          <w:p w:rsidR="00A11163" w:rsidRPr="004567E2" w:rsidRDefault="00A11163" w:rsidP="00A11163">
            <w:pPr>
              <w:pStyle w:val="ListParagraph"/>
              <w:widowControl w:val="0"/>
              <w:numPr>
                <w:ilvl w:val="0"/>
                <w:numId w:val="1"/>
              </w:numPr>
              <w:shd w:val="clear" w:color="auto" w:fill="FFFFFF"/>
              <w:ind w:left="1137"/>
              <w:contextualSpacing w:val="0"/>
              <w:rPr>
                <w:rFonts w:ascii="Times New Roman" w:eastAsia="Times New Roman" w:hAnsi="Times New Roman" w:cs="Times New Roman"/>
                <w:bCs/>
                <w:color w:val="000000" w:themeColor="text1"/>
                <w:sz w:val="24"/>
                <w:szCs w:val="24"/>
                <w:lang w:val="en-GB"/>
              </w:rPr>
            </w:pPr>
            <w:r w:rsidRPr="004567E2">
              <w:rPr>
                <w:rFonts w:ascii="Times New Roman" w:eastAsia="Times New Roman" w:hAnsi="Times New Roman" w:cs="Times New Roman"/>
                <w:bCs/>
                <w:color w:val="000000" w:themeColor="text1"/>
                <w:sz w:val="24"/>
                <w:szCs w:val="24"/>
                <w:lang w:val="en-GB"/>
              </w:rPr>
              <w:t>Tariffs</w:t>
            </w:r>
          </w:p>
          <w:p w:rsidR="00A11163" w:rsidRPr="004567E2" w:rsidRDefault="00A11163" w:rsidP="00A11163">
            <w:pPr>
              <w:pStyle w:val="ListParagraph"/>
              <w:widowControl w:val="0"/>
              <w:numPr>
                <w:ilvl w:val="0"/>
                <w:numId w:val="1"/>
              </w:numPr>
              <w:shd w:val="clear" w:color="auto" w:fill="FFFFFF"/>
              <w:ind w:left="1137"/>
              <w:contextualSpacing w:val="0"/>
              <w:rPr>
                <w:rFonts w:ascii="Times New Roman" w:eastAsia="Times New Roman" w:hAnsi="Times New Roman" w:cs="Times New Roman"/>
                <w:bCs/>
                <w:color w:val="000000" w:themeColor="text1"/>
                <w:sz w:val="24"/>
                <w:szCs w:val="24"/>
                <w:lang w:val="en-GB"/>
              </w:rPr>
            </w:pPr>
            <w:r w:rsidRPr="004567E2">
              <w:rPr>
                <w:rFonts w:ascii="Times New Roman" w:eastAsia="Times New Roman" w:hAnsi="Times New Roman" w:cs="Times New Roman"/>
                <w:bCs/>
                <w:color w:val="000000" w:themeColor="text1"/>
                <w:sz w:val="24"/>
                <w:szCs w:val="24"/>
                <w:lang w:val="en-GB"/>
              </w:rPr>
              <w:t>Consideration of Cost of implementation/complexity during development of recommendations</w:t>
            </w:r>
          </w:p>
          <w:p w:rsidR="00A11163" w:rsidRPr="004567E2" w:rsidRDefault="00A11163" w:rsidP="00A11163">
            <w:pPr>
              <w:widowControl w:val="0"/>
              <w:shd w:val="clear" w:color="auto" w:fill="FFFFFF"/>
              <w:rPr>
                <w:rFonts w:ascii="Times New Roman" w:eastAsia="Times New Roman" w:hAnsi="Times New Roman" w:cs="Times New Roman"/>
                <w:bCs/>
                <w:color w:val="000000" w:themeColor="text1"/>
                <w:sz w:val="24"/>
                <w:szCs w:val="24"/>
              </w:rPr>
            </w:pPr>
            <w:r w:rsidRPr="004567E2">
              <w:rPr>
                <w:rFonts w:ascii="Times New Roman" w:eastAsia="Times New Roman" w:hAnsi="Times New Roman" w:cs="Times New Roman"/>
                <w:bCs/>
                <w:color w:val="000000" w:themeColor="text1"/>
                <w:sz w:val="24"/>
                <w:szCs w:val="24"/>
              </w:rPr>
              <w:t>Policy/governance: cooperation with WSIS process, ISOC etc.</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C3</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9.c</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T.4-1</w:t>
            </w:r>
          </w:p>
        </w:tc>
        <w:tc>
          <w:tcPr>
            <w:tcW w:w="756" w:type="dxa"/>
          </w:tcPr>
          <w:p w:rsidR="00A11163" w:rsidRPr="004567E2" w:rsidRDefault="00A11163" w:rsidP="00A11163">
            <w:pPr>
              <w:pStyle w:val="Default"/>
              <w:numPr>
                <w:ilvl w:val="0"/>
                <w:numId w:val="25"/>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TSB results</w:t>
            </w:r>
          </w:p>
        </w:tc>
        <w:tc>
          <w:tcPr>
            <w:tcW w:w="8278" w:type="dxa"/>
          </w:tcPr>
          <w:p w:rsidR="00A11163" w:rsidRPr="004567E2" w:rsidRDefault="00A11163" w:rsidP="00A11163">
            <w:pPr>
              <w:rPr>
                <w:rFonts w:ascii="Times New Roman" w:hAnsi="Times New Roman" w:cs="Times New Roman"/>
                <w:b/>
                <w:bCs/>
                <w:color w:val="000000"/>
                <w:sz w:val="24"/>
                <w:szCs w:val="24"/>
              </w:rPr>
            </w:pPr>
            <w:r w:rsidRPr="004567E2">
              <w:rPr>
                <w:rFonts w:ascii="Times New Roman" w:hAnsi="Times New Roman" w:cs="Times New Roman"/>
                <w:sz w:val="24"/>
                <w:szCs w:val="24"/>
              </w:rPr>
              <w:t>ITU-T Technological Watch Report “</w:t>
            </w:r>
            <w:hyperlink r:id="rId998" w:history="1">
              <w:r w:rsidRPr="004567E2">
                <w:rPr>
                  <w:rStyle w:val="Hyperlink"/>
                  <w:rFonts w:ascii="Times New Roman" w:hAnsi="Times New Roman" w:cs="Times New Roman"/>
                  <w:sz w:val="24"/>
                  <w:szCs w:val="24"/>
                </w:rPr>
                <w:t>ICTs and food security</w:t>
              </w:r>
            </w:hyperlink>
            <w:r w:rsidRPr="004567E2">
              <w:rPr>
                <w:rFonts w:ascii="Times New Roman" w:hAnsi="Times New Roman" w:cs="Times New Roman"/>
                <w:sz w:val="24"/>
                <w:szCs w:val="24"/>
              </w:rPr>
              <w:t>” examines some of the main ways in which Information and Communication Technologies (ICTs) can be used locally and globally to address the problems of food security and hunger and reviews the relevant ITU standardization work.</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C7, C5</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2.4</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T.4-1</w:t>
            </w:r>
          </w:p>
        </w:tc>
        <w:tc>
          <w:tcPr>
            <w:tcW w:w="756" w:type="dxa"/>
          </w:tcPr>
          <w:p w:rsidR="00A11163" w:rsidRPr="004567E2" w:rsidRDefault="00A11163" w:rsidP="00A11163">
            <w:pPr>
              <w:pStyle w:val="Default"/>
              <w:numPr>
                <w:ilvl w:val="0"/>
                <w:numId w:val="25"/>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TechWatch</w:t>
            </w:r>
          </w:p>
        </w:tc>
        <w:tc>
          <w:tcPr>
            <w:tcW w:w="8278" w:type="dxa"/>
          </w:tcPr>
          <w:p w:rsidR="00A11163" w:rsidRPr="004567E2" w:rsidRDefault="007835EF" w:rsidP="00A11163">
            <w:pPr>
              <w:rPr>
                <w:rFonts w:ascii="Times New Roman" w:hAnsi="Times New Roman" w:cs="Times New Roman"/>
                <w:b/>
                <w:bCs/>
                <w:color w:val="000000"/>
                <w:sz w:val="24"/>
                <w:szCs w:val="24"/>
              </w:rPr>
            </w:pPr>
            <w:hyperlink r:id="rId999" w:history="1">
              <w:r w:rsidR="00A11163" w:rsidRPr="004567E2">
                <w:rPr>
                  <w:rStyle w:val="Hyperlink"/>
                  <w:rFonts w:ascii="Times New Roman" w:eastAsia="Times New Roman" w:hAnsi="Times New Roman" w:cs="Times New Roman"/>
                  <w:sz w:val="24"/>
                  <w:szCs w:val="24"/>
                </w:rPr>
                <w:t>Technological Watch Report “Standards and e-health”</w:t>
              </w:r>
            </w:hyperlink>
            <w:r w:rsidR="00A11163" w:rsidRPr="004567E2">
              <w:rPr>
                <w:rFonts w:ascii="Times New Roman" w:eastAsia="Times New Roman" w:hAnsi="Times New Roman" w:cs="Times New Roman"/>
                <w:sz w:val="24"/>
                <w:szCs w:val="24"/>
              </w:rPr>
              <w:t xml:space="preserve"> </w:t>
            </w:r>
            <w:r w:rsidR="00A11163" w:rsidRPr="004567E2">
              <w:rPr>
                <w:rFonts w:ascii="Times New Roman" w:hAnsi="Times New Roman" w:cs="Times New Roman"/>
                <w:sz w:val="24"/>
                <w:szCs w:val="24"/>
              </w:rPr>
              <w:t>envisions the future of e-health, presents a snapshot of the current e-health standardization landscape, describes some obstacles that must be overcome, and identifies the emerging standardization opportunities and activities within the ITU that will contribute to the global deployment of efficient and secure e-health systems.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C4,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3.8, 9.1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T.4-1</w:t>
            </w:r>
          </w:p>
        </w:tc>
        <w:tc>
          <w:tcPr>
            <w:tcW w:w="756" w:type="dxa"/>
          </w:tcPr>
          <w:p w:rsidR="00A11163" w:rsidRPr="004567E2" w:rsidRDefault="00A11163" w:rsidP="00A11163">
            <w:pPr>
              <w:pStyle w:val="Default"/>
              <w:numPr>
                <w:ilvl w:val="0"/>
                <w:numId w:val="25"/>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ITU-T SG12 results</w:t>
            </w:r>
          </w:p>
        </w:tc>
        <w:tc>
          <w:tcPr>
            <w:tcW w:w="8278" w:type="dxa"/>
          </w:tcPr>
          <w:p w:rsidR="00A11163" w:rsidRPr="004567E2" w:rsidRDefault="007835EF" w:rsidP="00A11163">
            <w:pPr>
              <w:rPr>
                <w:rFonts w:ascii="Times New Roman" w:hAnsi="Times New Roman" w:cs="Times New Roman"/>
                <w:b/>
                <w:bCs/>
                <w:color w:val="000000"/>
                <w:sz w:val="24"/>
                <w:szCs w:val="24"/>
              </w:rPr>
            </w:pPr>
            <w:hyperlink r:id="rId1000" w:history="1">
              <w:r w:rsidR="00A11163" w:rsidRPr="004567E2">
                <w:rPr>
                  <w:rStyle w:val="Hyperlink"/>
                  <w:rFonts w:ascii="Times New Roman" w:hAnsi="Times New Roman" w:cs="Times New Roman"/>
                  <w:sz w:val="24"/>
                  <w:szCs w:val="24"/>
                </w:rPr>
                <w:t>Recommendation ITU-T G.1091 “Quality of Experience requirements for telepresence services”</w:t>
              </w:r>
            </w:hyperlink>
            <w:r w:rsidR="00A11163" w:rsidRPr="004567E2">
              <w:rPr>
                <w:rFonts w:ascii="Times New Roman" w:hAnsi="Times New Roman" w:cs="Times New Roman"/>
                <w:sz w:val="24"/>
                <w:szCs w:val="24"/>
              </w:rPr>
              <w:t xml:space="preserve"> provides guidelines for achieving high QoE in telepresence services. First, a high-level description of a telepresence system is described, with an overview of important use cases. Then, specific audio and visual parameters, and other characteristics that are important from a QoE perspective are defined. Where possible, specific values for the parameters necessary to achieve high QoE are recommended, along with references to associated test methodologies.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C4</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4.4, 9.1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T.4-1</w:t>
            </w:r>
          </w:p>
        </w:tc>
        <w:tc>
          <w:tcPr>
            <w:tcW w:w="756" w:type="dxa"/>
          </w:tcPr>
          <w:p w:rsidR="00A11163" w:rsidRPr="004567E2" w:rsidRDefault="00A11163" w:rsidP="00A11163">
            <w:pPr>
              <w:pStyle w:val="Default"/>
              <w:numPr>
                <w:ilvl w:val="0"/>
                <w:numId w:val="25"/>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ITU-T SG12 results</w:t>
            </w:r>
          </w:p>
        </w:tc>
        <w:tc>
          <w:tcPr>
            <w:tcW w:w="8278" w:type="dxa"/>
          </w:tcPr>
          <w:p w:rsidR="00A11163" w:rsidRPr="004567E2" w:rsidRDefault="007835EF" w:rsidP="00A11163">
            <w:pPr>
              <w:rPr>
                <w:rFonts w:ascii="Times New Roman" w:hAnsi="Times New Roman" w:cs="Times New Roman"/>
                <w:b/>
                <w:bCs/>
                <w:color w:val="000000"/>
                <w:sz w:val="24"/>
                <w:szCs w:val="24"/>
              </w:rPr>
            </w:pPr>
            <w:hyperlink r:id="rId1001" w:history="1">
              <w:r w:rsidR="00A11163" w:rsidRPr="004567E2">
                <w:rPr>
                  <w:rStyle w:val="Hyperlink"/>
                  <w:rFonts w:ascii="Times New Roman" w:hAnsi="Times New Roman" w:cs="Times New Roman"/>
                  <w:bCs/>
                  <w:sz w:val="24"/>
                  <w:szCs w:val="24"/>
                </w:rPr>
                <w:t>ITU-T Supplement 26 to ITU-T P-series Recommendations “Scenarios for the subjective evaluation of audio and audiovisual multiparty telemeetings quality“</w:t>
              </w:r>
            </w:hyperlink>
            <w:r w:rsidR="00A11163" w:rsidRPr="004567E2">
              <w:rPr>
                <w:rFonts w:ascii="Times New Roman" w:hAnsi="Times New Roman" w:cs="Times New Roman"/>
                <w:b/>
                <w:bCs/>
                <w:sz w:val="24"/>
                <w:szCs w:val="24"/>
              </w:rPr>
              <w:t xml:space="preserve"> </w:t>
            </w:r>
            <w:r w:rsidR="00A11163" w:rsidRPr="004567E2">
              <w:rPr>
                <w:rFonts w:ascii="Times New Roman" w:hAnsi="Times New Roman" w:cs="Times New Roman"/>
                <w:sz w:val="24"/>
                <w:szCs w:val="24"/>
              </w:rPr>
              <w:t>concerns subjective quality assessment of telemeeting systems that provide audio-only or audio-visual communication for multiple parties. The term multiple parties refers to more than two meeting participants who can be located at two or more than two locations. Evaluation of those systems can focus on audio-only, video-only or audio-visual quality aspects and non-interactive or conversational quality can be assessed. This supplement provides example test scenarios that can be used to conduct conversation tests for multiparty audio-only telemeetings.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C4</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4.4, 9.1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T.4-1</w:t>
            </w:r>
          </w:p>
        </w:tc>
        <w:tc>
          <w:tcPr>
            <w:tcW w:w="756" w:type="dxa"/>
          </w:tcPr>
          <w:p w:rsidR="00A11163" w:rsidRPr="004567E2" w:rsidRDefault="00A11163" w:rsidP="00A11163">
            <w:pPr>
              <w:pStyle w:val="Default"/>
              <w:numPr>
                <w:ilvl w:val="0"/>
                <w:numId w:val="25"/>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ITU-T SG13 results</w:t>
            </w:r>
          </w:p>
        </w:tc>
        <w:tc>
          <w:tcPr>
            <w:tcW w:w="8278" w:type="dxa"/>
          </w:tcPr>
          <w:p w:rsidR="00A11163" w:rsidRPr="004567E2" w:rsidRDefault="007835EF" w:rsidP="00A11163">
            <w:pPr>
              <w:rPr>
                <w:rFonts w:ascii="Times New Roman" w:hAnsi="Times New Roman" w:cs="Times New Roman"/>
                <w:b/>
                <w:bCs/>
                <w:color w:val="000000"/>
                <w:sz w:val="24"/>
                <w:szCs w:val="24"/>
              </w:rPr>
            </w:pPr>
            <w:hyperlink r:id="rId1002" w:history="1">
              <w:r w:rsidR="00A11163" w:rsidRPr="004567E2">
                <w:rPr>
                  <w:rStyle w:val="Hyperlink"/>
                  <w:rFonts w:ascii="Times New Roman" w:hAnsi="Times New Roman" w:cs="Times New Roman"/>
                  <w:sz w:val="24"/>
                  <w:szCs w:val="24"/>
                </w:rPr>
                <w:t>Recommendation ITU-T Y.2241 “Service framework to support web objects based ubiquitous self-directed learning”</w:t>
              </w:r>
            </w:hyperlink>
            <w:r w:rsidR="00A11163" w:rsidRPr="004567E2">
              <w:rPr>
                <w:rFonts w:ascii="Times New Roman" w:hAnsi="Times New Roman" w:cs="Times New Roman"/>
                <w:b/>
                <w:bCs/>
                <w:sz w:val="24"/>
                <w:szCs w:val="24"/>
              </w:rPr>
              <w:t xml:space="preserve"> </w:t>
            </w:r>
            <w:r w:rsidR="00A11163" w:rsidRPr="004567E2">
              <w:rPr>
                <w:rFonts w:ascii="Times New Roman" w:hAnsi="Times New Roman" w:cs="Times New Roman"/>
                <w:sz w:val="24"/>
                <w:szCs w:val="24"/>
              </w:rPr>
              <w:t xml:space="preserve">provides a framework to support a web objects based ubiquitous self-directed learning (uSDL) service including overview, content </w:t>
            </w:r>
            <w:r w:rsidR="00A11163" w:rsidRPr="004567E2">
              <w:rPr>
                <w:rFonts w:ascii="Times New Roman" w:hAnsi="Times New Roman" w:cs="Times New Roman"/>
                <w:sz w:val="24"/>
                <w:szCs w:val="24"/>
              </w:rPr>
              <w:lastRenderedPageBreak/>
              <w:t>object model, functional capabilities, security and trust considerations of web objects based uSDL.</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C2, C4</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4.4, 9.1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T.4-1</w:t>
            </w:r>
          </w:p>
        </w:tc>
        <w:tc>
          <w:tcPr>
            <w:tcW w:w="756" w:type="dxa"/>
          </w:tcPr>
          <w:p w:rsidR="00A11163" w:rsidRPr="004567E2" w:rsidRDefault="00A11163" w:rsidP="00A11163">
            <w:pPr>
              <w:pStyle w:val="Default"/>
              <w:numPr>
                <w:ilvl w:val="0"/>
                <w:numId w:val="25"/>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ITU-T SG13 results</w:t>
            </w:r>
          </w:p>
        </w:tc>
        <w:tc>
          <w:tcPr>
            <w:tcW w:w="8278" w:type="dxa"/>
          </w:tcPr>
          <w:p w:rsidR="00A11163" w:rsidRPr="004567E2" w:rsidRDefault="00A11163" w:rsidP="00A11163">
            <w:pPr>
              <w:rPr>
                <w:rStyle w:val="Hyperlink"/>
                <w:rFonts w:ascii="Times New Roman" w:hAnsi="Times New Roman" w:cs="Times New Roman"/>
                <w:sz w:val="24"/>
                <w:szCs w:val="24"/>
              </w:rPr>
            </w:pPr>
            <w:r w:rsidRPr="004567E2">
              <w:rPr>
                <w:rStyle w:val="Hyperlink"/>
                <w:rFonts w:ascii="Times New Roman" w:hAnsi="Times New Roman" w:cs="Times New Roman"/>
                <w:sz w:val="24"/>
                <w:szCs w:val="24"/>
              </w:rPr>
              <w:t xml:space="preserve">Recommendation ITU-T Y.2242 “Service function chaining in mobile network” (under approval) </w:t>
            </w:r>
            <w:r w:rsidRPr="004567E2">
              <w:rPr>
                <w:rStyle w:val="Hyperlink"/>
                <w:rFonts w:ascii="Times New Roman" w:hAnsi="Times New Roman" w:cs="Times New Roman"/>
                <w:color w:val="auto"/>
                <w:sz w:val="24"/>
                <w:szCs w:val="24"/>
                <w:u w:val="none"/>
              </w:rPr>
              <w:t>specifies a way to coordinate existing and ongoing works on service function chaining in mobile network (specified in [IETF RFC7665][IETF RFC 8300] and [b-ONF TS-027]) by introducing a chain orchestrator as a new entity. The Recommendation also covers the case when relevant network functions are virtualized. The objective of this document is to describe the requirements, architecture, functional entities, reference points and information flows of service function chaining in mobile networks.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T.4-1</w:t>
            </w:r>
          </w:p>
        </w:tc>
        <w:tc>
          <w:tcPr>
            <w:tcW w:w="756" w:type="dxa"/>
          </w:tcPr>
          <w:p w:rsidR="00A11163" w:rsidRPr="004567E2" w:rsidRDefault="00A11163" w:rsidP="00A11163">
            <w:pPr>
              <w:pStyle w:val="Default"/>
              <w:numPr>
                <w:ilvl w:val="0"/>
                <w:numId w:val="25"/>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ITU-T SG16 results</w:t>
            </w:r>
          </w:p>
        </w:tc>
        <w:tc>
          <w:tcPr>
            <w:tcW w:w="8278" w:type="dxa"/>
          </w:tcPr>
          <w:p w:rsidR="00A11163" w:rsidRPr="004567E2" w:rsidRDefault="007835EF" w:rsidP="00A11163">
            <w:pPr>
              <w:rPr>
                <w:rFonts w:ascii="Times New Roman" w:hAnsi="Times New Roman" w:cs="Times New Roman"/>
                <w:b/>
                <w:bCs/>
                <w:color w:val="000000"/>
                <w:sz w:val="24"/>
                <w:szCs w:val="24"/>
              </w:rPr>
            </w:pPr>
            <w:hyperlink r:id="rId1003" w:history="1">
              <w:r w:rsidR="00A11163" w:rsidRPr="004567E2">
                <w:rPr>
                  <w:rStyle w:val="Hyperlink"/>
                  <w:rFonts w:ascii="Times New Roman" w:hAnsi="Times New Roman" w:cs="Times New Roman"/>
                  <w:sz w:val="24"/>
                  <w:szCs w:val="24"/>
                </w:rPr>
                <w:t>Recommendation ITU-T F.742 “Service description and requirements for distance learning services”</w:t>
              </w:r>
            </w:hyperlink>
            <w:r w:rsidR="00A11163" w:rsidRPr="004567E2">
              <w:rPr>
                <w:rFonts w:ascii="Times New Roman" w:hAnsi="Times New Roman" w:cs="Times New Roman"/>
                <w:sz w:val="24"/>
                <w:szCs w:val="24"/>
              </w:rPr>
              <w:t xml:space="preserve"> provides the service description and requirements for distance learning services. This Recommendation is intended to support the multimedia framework for distance learning services.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C4</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4.4, 9.1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T.4-1</w:t>
            </w:r>
          </w:p>
        </w:tc>
        <w:tc>
          <w:tcPr>
            <w:tcW w:w="756" w:type="dxa"/>
          </w:tcPr>
          <w:p w:rsidR="00A11163" w:rsidRPr="004567E2" w:rsidRDefault="00A11163" w:rsidP="00A11163">
            <w:pPr>
              <w:pStyle w:val="Default"/>
              <w:numPr>
                <w:ilvl w:val="0"/>
                <w:numId w:val="25"/>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ITU-T SG16 results</w:t>
            </w:r>
          </w:p>
        </w:tc>
        <w:tc>
          <w:tcPr>
            <w:tcW w:w="8278" w:type="dxa"/>
          </w:tcPr>
          <w:p w:rsidR="00A11163" w:rsidRPr="004567E2" w:rsidRDefault="007835EF" w:rsidP="00A11163">
            <w:pPr>
              <w:rPr>
                <w:rFonts w:ascii="Times New Roman" w:hAnsi="Times New Roman" w:cs="Times New Roman"/>
                <w:b/>
                <w:bCs/>
                <w:color w:val="000000"/>
                <w:sz w:val="24"/>
                <w:szCs w:val="24"/>
              </w:rPr>
            </w:pPr>
            <w:hyperlink r:id="rId1004" w:history="1">
              <w:r w:rsidR="00A11163" w:rsidRPr="004567E2">
                <w:rPr>
                  <w:rStyle w:val="Hyperlink"/>
                  <w:rFonts w:ascii="Times New Roman" w:hAnsi="Times New Roman" w:cs="Times New Roman"/>
                  <w:sz w:val="24"/>
                  <w:szCs w:val="24"/>
                </w:rPr>
                <w:t>Recommendation ITU-T F.734 “Definitions, requirements and use cases for telepresence systems”</w:t>
              </w:r>
            </w:hyperlink>
            <w:r w:rsidR="00A11163" w:rsidRPr="004567E2">
              <w:rPr>
                <w:rFonts w:ascii="Times New Roman" w:hAnsi="Times New Roman" w:cs="Times New Roman"/>
                <w:sz w:val="24"/>
                <w:szCs w:val="24"/>
              </w:rPr>
              <w:t xml:space="preserve"> provides definitions, use cases and functional requirements for telepresence systems. Telepresence is an interactive audio-visual communications experience between remote locations, where the users enjoy a strong sense of realism and presence between participants by optimizing a variety of attributes. A telepresence system is a set of functions, devices and network elements which are able to capture, deliver, manage and render multiple high quality interactive audio and video signals in a telepresence conference to deliver a telepresence experience.</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C4</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4.4, 9.1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T.4-1</w:t>
            </w:r>
          </w:p>
        </w:tc>
        <w:tc>
          <w:tcPr>
            <w:tcW w:w="756" w:type="dxa"/>
          </w:tcPr>
          <w:p w:rsidR="00A11163" w:rsidRPr="004567E2" w:rsidRDefault="00A11163" w:rsidP="00A11163">
            <w:pPr>
              <w:pStyle w:val="Default"/>
              <w:numPr>
                <w:ilvl w:val="0"/>
                <w:numId w:val="25"/>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ITU-T SG16 results</w:t>
            </w:r>
          </w:p>
        </w:tc>
        <w:tc>
          <w:tcPr>
            <w:tcW w:w="8278" w:type="dxa"/>
          </w:tcPr>
          <w:p w:rsidR="00A11163" w:rsidRPr="004567E2" w:rsidRDefault="007835EF" w:rsidP="00A11163">
            <w:pPr>
              <w:rPr>
                <w:rStyle w:val="Hyperlink"/>
                <w:rFonts w:ascii="Times New Roman" w:hAnsi="Times New Roman" w:cs="Times New Roman"/>
                <w:color w:val="auto"/>
                <w:sz w:val="24"/>
                <w:szCs w:val="24"/>
                <w:u w:val="none"/>
              </w:rPr>
            </w:pPr>
            <w:hyperlink r:id="rId1005" w:history="1">
              <w:r w:rsidR="00A11163" w:rsidRPr="004567E2">
                <w:rPr>
                  <w:rStyle w:val="Hyperlink"/>
                  <w:rFonts w:ascii="Times New Roman" w:hAnsi="Times New Roman" w:cs="Times New Roman"/>
                  <w:sz w:val="24"/>
                  <w:szCs w:val="24"/>
                </w:rPr>
                <w:t>Recommendation ITU-T H.420 “Telepresence system architecture”</w:t>
              </w:r>
            </w:hyperlink>
            <w:r w:rsidR="00A11163" w:rsidRPr="004567E2">
              <w:rPr>
                <w:rFonts w:ascii="Times New Roman" w:hAnsi="Times New Roman" w:cs="Times New Roman"/>
                <w:sz w:val="24"/>
                <w:szCs w:val="24"/>
              </w:rPr>
              <w:t xml:space="preserve"> describes a high-level telepresence system architecture. It describes subsystem components: telepresence endpoints, multipoint control units, call and resource controllers, gateways, management systems and how these are used in a communication session to provide telepresence. It also provides guidance on telepresence room design in terms of room layout and room characteristics.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C4</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4.4, 9.1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T.4-1</w:t>
            </w:r>
          </w:p>
        </w:tc>
        <w:tc>
          <w:tcPr>
            <w:tcW w:w="756" w:type="dxa"/>
          </w:tcPr>
          <w:p w:rsidR="00A11163" w:rsidRPr="004567E2" w:rsidRDefault="00A11163" w:rsidP="00A11163">
            <w:pPr>
              <w:pStyle w:val="Default"/>
              <w:numPr>
                <w:ilvl w:val="0"/>
                <w:numId w:val="25"/>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ITU-T SG16 results</w:t>
            </w:r>
          </w:p>
        </w:tc>
        <w:tc>
          <w:tcPr>
            <w:tcW w:w="8278" w:type="dxa"/>
          </w:tcPr>
          <w:p w:rsidR="00A11163" w:rsidRPr="004567E2" w:rsidRDefault="007835EF" w:rsidP="00A11163">
            <w:pPr>
              <w:rPr>
                <w:rStyle w:val="Hyperlink"/>
                <w:rFonts w:ascii="Times New Roman" w:hAnsi="Times New Roman" w:cs="Times New Roman"/>
                <w:b/>
                <w:bCs/>
                <w:color w:val="auto"/>
                <w:sz w:val="24"/>
                <w:szCs w:val="24"/>
                <w:u w:val="none"/>
              </w:rPr>
            </w:pPr>
            <w:hyperlink r:id="rId1006" w:history="1">
              <w:r w:rsidR="00A11163" w:rsidRPr="004567E2">
                <w:rPr>
                  <w:rStyle w:val="Hyperlink"/>
                  <w:rFonts w:ascii="Times New Roman" w:hAnsi="Times New Roman" w:cs="Times New Roman"/>
                  <w:sz w:val="24"/>
                  <w:szCs w:val="24"/>
                </w:rPr>
                <w:t>Recommendation ITU-T T.621 “File structure for interactive mobile comic and animation content”</w:t>
              </w:r>
            </w:hyperlink>
            <w:r w:rsidR="00A11163" w:rsidRPr="004567E2">
              <w:rPr>
                <w:rFonts w:ascii="Times New Roman" w:hAnsi="Times New Roman" w:cs="Times New Roman"/>
                <w:sz w:val="24"/>
                <w:szCs w:val="24"/>
              </w:rPr>
              <w:t xml:space="preserve"> defines an interactive mobile comic and animation file structure used for organization and storage of mobile animation contents. This Recommendation can be used as a guideline for creation, processing, transmission and play of mobile animation contents.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C4</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4.4, 9.1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T.4-1</w:t>
            </w:r>
          </w:p>
        </w:tc>
        <w:tc>
          <w:tcPr>
            <w:tcW w:w="756" w:type="dxa"/>
          </w:tcPr>
          <w:p w:rsidR="00A11163" w:rsidRPr="004567E2" w:rsidRDefault="00A11163" w:rsidP="00A11163">
            <w:pPr>
              <w:pStyle w:val="Default"/>
              <w:numPr>
                <w:ilvl w:val="0"/>
                <w:numId w:val="25"/>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ITU-T SG20 results</w:t>
            </w:r>
          </w:p>
        </w:tc>
        <w:tc>
          <w:tcPr>
            <w:tcW w:w="8278" w:type="dxa"/>
          </w:tcPr>
          <w:p w:rsidR="00A11163" w:rsidRPr="004567E2" w:rsidRDefault="007835EF" w:rsidP="00A11163">
            <w:pPr>
              <w:rPr>
                <w:rFonts w:ascii="Times New Roman" w:hAnsi="Times New Roman" w:cs="Times New Roman"/>
                <w:b/>
                <w:bCs/>
                <w:color w:val="000000"/>
                <w:sz w:val="24"/>
                <w:szCs w:val="24"/>
              </w:rPr>
            </w:pPr>
            <w:hyperlink r:id="rId1007" w:history="1">
              <w:r w:rsidR="00A11163" w:rsidRPr="004567E2">
                <w:rPr>
                  <w:rStyle w:val="Hyperlink"/>
                  <w:rFonts w:ascii="Times New Roman" w:hAnsi="Times New Roman" w:cs="Times New Roman"/>
                  <w:sz w:val="24"/>
                  <w:szCs w:val="24"/>
                </w:rPr>
                <w:t>Flipbook: Shaping smarter and more sustainable cities: Striving for sustainable and development goals</w:t>
              </w:r>
            </w:hyperlink>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C4</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4.4, 9.1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T.4-1</w:t>
            </w:r>
          </w:p>
        </w:tc>
        <w:tc>
          <w:tcPr>
            <w:tcW w:w="756" w:type="dxa"/>
          </w:tcPr>
          <w:p w:rsidR="00A11163" w:rsidRPr="004567E2" w:rsidRDefault="00A11163" w:rsidP="00A11163">
            <w:pPr>
              <w:pStyle w:val="Default"/>
              <w:numPr>
                <w:ilvl w:val="0"/>
                <w:numId w:val="25"/>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ITU-T SG20 results</w:t>
            </w:r>
          </w:p>
        </w:tc>
        <w:tc>
          <w:tcPr>
            <w:tcW w:w="8278" w:type="dxa"/>
          </w:tcPr>
          <w:p w:rsidR="00A11163" w:rsidRPr="004567E2" w:rsidRDefault="00A11163" w:rsidP="00A11163">
            <w:pPr>
              <w:rPr>
                <w:rFonts w:ascii="Times New Roman" w:hAnsi="Times New Roman" w:cs="Times New Roman"/>
                <w:b/>
                <w:bCs/>
                <w:color w:val="000000"/>
                <w:sz w:val="24"/>
                <w:szCs w:val="24"/>
              </w:rPr>
            </w:pPr>
            <w:r w:rsidRPr="004567E2">
              <w:rPr>
                <w:rFonts w:ascii="Times New Roman" w:hAnsi="Times New Roman" w:cs="Times New Roman"/>
                <w:sz w:val="24"/>
                <w:szCs w:val="24"/>
              </w:rPr>
              <w:t>ITU-T Focus Group on Smart Sustainable Cities (FG-SSC) concluded its two-year study in May 2015 with the delivery of 21 Technical Reports and Specifications to provide the foundations of subsequent ITU-T standardization work. This flipbook compendium of the reports and specifications released by the Focus Group provides an overview of how ICTs could be deployed with traditional infrastructures to promote the coordinated, integrated use of new digital technologies in meeting 21</w:t>
            </w:r>
            <w:r w:rsidRPr="004567E2">
              <w:rPr>
                <w:rFonts w:ascii="Times New Roman" w:hAnsi="Times New Roman" w:cs="Times New Roman"/>
                <w:sz w:val="24"/>
                <w:szCs w:val="24"/>
                <w:vertAlign w:val="superscript"/>
              </w:rPr>
              <w:t>st</w:t>
            </w:r>
            <w:r w:rsidRPr="004567E2">
              <w:rPr>
                <w:rFonts w:ascii="Times New Roman" w:hAnsi="Times New Roman" w:cs="Times New Roman"/>
                <w:sz w:val="24"/>
                <w:szCs w:val="24"/>
              </w:rPr>
              <w:t xml:space="preserve"> Century urban-development objectives, and will assist the studies of all decision-makers with smart-city ambitions. ICTs play an important role in this agenda, in particular as part of Goal9 – Build resilient infrastructure, promote inclusive and sustainable industrialization and foster innovation – which includes a target to increase access to ICTs and provide universal and affordable access to the Internet. Addressing urban development more directly, Goal11 – Make cities and human settlements inclusive, safe, resilient and sustainable – encourages cities to adopt integrated policies and plans to build more inclusive, resource-efficient cities able to mitigate and adapt to climate change and improve their resilience to disasters. The promotion of Smart Sustainable Cities will be key to achieving these objectives, in addition serving the overarching objective outlined by Goal13, to “Take urgent action to combat climate change and its impacts”.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C4</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4.4, 9.1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T.4-1</w:t>
            </w:r>
          </w:p>
        </w:tc>
        <w:tc>
          <w:tcPr>
            <w:tcW w:w="756" w:type="dxa"/>
          </w:tcPr>
          <w:p w:rsidR="00A11163" w:rsidRPr="004567E2" w:rsidRDefault="00A11163" w:rsidP="00A11163">
            <w:pPr>
              <w:pStyle w:val="Default"/>
              <w:numPr>
                <w:ilvl w:val="0"/>
                <w:numId w:val="25"/>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ITU-T SG20 results</w:t>
            </w:r>
          </w:p>
        </w:tc>
        <w:tc>
          <w:tcPr>
            <w:tcW w:w="8278" w:type="dxa"/>
          </w:tcPr>
          <w:p w:rsidR="00A11163" w:rsidRPr="004567E2" w:rsidRDefault="007835EF" w:rsidP="00A11163">
            <w:pPr>
              <w:rPr>
                <w:rFonts w:ascii="Times New Roman" w:hAnsi="Times New Roman" w:cs="Times New Roman"/>
                <w:b/>
                <w:bCs/>
                <w:color w:val="000000"/>
                <w:sz w:val="24"/>
                <w:szCs w:val="24"/>
              </w:rPr>
            </w:pPr>
            <w:hyperlink r:id="rId1008" w:history="1">
              <w:r w:rsidR="00A11163" w:rsidRPr="004567E2">
                <w:rPr>
                  <w:rStyle w:val="Hyperlink"/>
                  <w:rFonts w:ascii="Times New Roman" w:hAnsi="Times New Roman" w:cs="Times New Roman"/>
                  <w:sz w:val="24"/>
                  <w:szCs w:val="24"/>
                </w:rPr>
                <w:t>Flipbook: Unleashing the potential of the Internet of Things</w:t>
              </w:r>
            </w:hyperlink>
            <w:r w:rsidR="00A11163" w:rsidRPr="004567E2">
              <w:rPr>
                <w:rFonts w:ascii="Times New Roman" w:hAnsi="Times New Roman" w:cs="Times New Roman"/>
                <w:b/>
                <w:bCs/>
                <w:sz w:val="24"/>
                <w:szCs w:val="24"/>
              </w:rPr>
              <w:t xml:space="preserve"> </w:t>
            </w:r>
            <w:r w:rsidR="00A11163" w:rsidRPr="004567E2">
              <w:rPr>
                <w:rFonts w:ascii="Times New Roman" w:hAnsi="Times New Roman" w:cs="Times New Roman"/>
                <w:sz w:val="24"/>
                <w:szCs w:val="24"/>
              </w:rPr>
              <w:t xml:space="preserve">presents a compendium of the first set of ITU international standards for IoT, providing a resource of great value to standards experts interested in contributing to the work of </w:t>
            </w:r>
            <w:r w:rsidR="00A11163" w:rsidRPr="004567E2">
              <w:rPr>
                <w:rFonts w:ascii="Times New Roman" w:hAnsi="Times New Roman" w:cs="Times New Roman"/>
                <w:sz w:val="24"/>
                <w:szCs w:val="24"/>
              </w:rPr>
              <w:lastRenderedPageBreak/>
              <w:t>ITU-T Study Group 20. This compendium is also expected to assist the wide variety of stakeholders interested in implementing these IoT standards or calling for adherence to standards in policy and regulatory frameworks relevant to IoT.</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C2, C4</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4.4, 9.1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T.4-1</w:t>
            </w:r>
          </w:p>
        </w:tc>
        <w:tc>
          <w:tcPr>
            <w:tcW w:w="756" w:type="dxa"/>
          </w:tcPr>
          <w:p w:rsidR="00A11163" w:rsidRPr="004567E2" w:rsidRDefault="00A11163" w:rsidP="00A11163">
            <w:pPr>
              <w:pStyle w:val="Default"/>
              <w:numPr>
                <w:ilvl w:val="0"/>
                <w:numId w:val="25"/>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TechWatch</w:t>
            </w:r>
          </w:p>
        </w:tc>
        <w:tc>
          <w:tcPr>
            <w:tcW w:w="8278" w:type="dxa"/>
          </w:tcPr>
          <w:p w:rsidR="00A11163" w:rsidRPr="004567E2" w:rsidRDefault="007835EF" w:rsidP="00A11163">
            <w:pPr>
              <w:rPr>
                <w:rFonts w:ascii="Times New Roman" w:hAnsi="Times New Roman" w:cs="Times New Roman"/>
                <w:b/>
                <w:bCs/>
                <w:color w:val="000000"/>
                <w:sz w:val="24"/>
                <w:szCs w:val="24"/>
              </w:rPr>
            </w:pPr>
            <w:hyperlink r:id="rId1009" w:history="1">
              <w:r w:rsidR="00A11163" w:rsidRPr="004567E2">
                <w:rPr>
                  <w:rStyle w:val="Hyperlink"/>
                  <w:rFonts w:ascii="Times New Roman" w:hAnsi="Times New Roman" w:cs="Times New Roman"/>
                  <w:sz w:val="24"/>
                  <w:szCs w:val="24"/>
                </w:rPr>
                <w:t>Technological Watch Report “Telepresence: high-performance video conferencing”</w:t>
              </w:r>
            </w:hyperlink>
            <w:r w:rsidR="00A11163" w:rsidRPr="004567E2">
              <w:rPr>
                <w:rFonts w:ascii="Times New Roman" w:hAnsi="Times New Roman" w:cs="Times New Roman"/>
                <w:sz w:val="24"/>
                <w:szCs w:val="24"/>
              </w:rPr>
              <w:t xml:space="preserve"> looks at the technology behind Telepresence and its potential applications in business as well as in fields like medicine, education and outsourcing. ITU-T standards, such as H.323 are at the heart of video-conferencing technology, and the report also looks at new developments, such as Advanced Multimedia Systems (AMS).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C4</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4.4, 9.1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T.4-1</w:t>
            </w:r>
          </w:p>
        </w:tc>
        <w:tc>
          <w:tcPr>
            <w:tcW w:w="756" w:type="dxa"/>
          </w:tcPr>
          <w:p w:rsidR="00A11163" w:rsidRPr="004567E2" w:rsidRDefault="00A11163" w:rsidP="00A11163">
            <w:pPr>
              <w:pStyle w:val="Default"/>
              <w:numPr>
                <w:ilvl w:val="0"/>
                <w:numId w:val="25"/>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TechWatch</w:t>
            </w:r>
          </w:p>
        </w:tc>
        <w:tc>
          <w:tcPr>
            <w:tcW w:w="8278" w:type="dxa"/>
          </w:tcPr>
          <w:p w:rsidR="00A11163" w:rsidRPr="004567E2" w:rsidRDefault="007835EF" w:rsidP="00A11163">
            <w:pPr>
              <w:rPr>
                <w:rFonts w:ascii="Times New Roman" w:hAnsi="Times New Roman" w:cs="Times New Roman"/>
                <w:b/>
                <w:bCs/>
                <w:color w:val="000000"/>
                <w:sz w:val="24"/>
                <w:szCs w:val="24"/>
              </w:rPr>
            </w:pPr>
            <w:hyperlink r:id="rId1010" w:history="1">
              <w:r w:rsidR="00A11163" w:rsidRPr="004567E2">
                <w:rPr>
                  <w:rStyle w:val="Hyperlink"/>
                  <w:rFonts w:ascii="Times New Roman" w:hAnsi="Times New Roman" w:cs="Times New Roman"/>
                  <w:sz w:val="24"/>
                  <w:szCs w:val="24"/>
                </w:rPr>
                <w:t>Technological Watch Report “Standards for technology-enabled learning”</w:t>
              </w:r>
            </w:hyperlink>
            <w:r w:rsidR="00A11163" w:rsidRPr="004567E2">
              <w:rPr>
                <w:rFonts w:ascii="Times New Roman" w:hAnsi="Times New Roman" w:cs="Times New Roman"/>
                <w:sz w:val="24"/>
                <w:szCs w:val="24"/>
              </w:rPr>
              <w:t xml:space="preserve"> surveys technology-enabled learning and emerging technologies, which, if applied in an educational context, can contribute to more efficient and more affordable education and training for all. For a number of years now, standardization bodies have been defining standards and guidelines for ICT-enhanced distance learning scenarios, and their output is taken up in this report with a view to exploring and identifying new applications and directions of this work.</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C4</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4.4, 9.1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T.4-1</w:t>
            </w:r>
          </w:p>
        </w:tc>
        <w:tc>
          <w:tcPr>
            <w:tcW w:w="756" w:type="dxa"/>
          </w:tcPr>
          <w:p w:rsidR="00A11163" w:rsidRPr="004567E2" w:rsidRDefault="00A11163" w:rsidP="00A11163">
            <w:pPr>
              <w:pStyle w:val="Default"/>
              <w:numPr>
                <w:ilvl w:val="0"/>
                <w:numId w:val="25"/>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ITU-T SG16 results</w:t>
            </w:r>
          </w:p>
        </w:tc>
        <w:tc>
          <w:tcPr>
            <w:tcW w:w="8278" w:type="dxa"/>
          </w:tcPr>
          <w:p w:rsidR="00A11163" w:rsidRPr="004567E2" w:rsidRDefault="007835EF" w:rsidP="00A11163">
            <w:pPr>
              <w:rPr>
                <w:rFonts w:ascii="Times New Roman" w:hAnsi="Times New Roman" w:cs="Times New Roman"/>
                <w:b/>
                <w:bCs/>
                <w:color w:val="000000"/>
                <w:sz w:val="24"/>
                <w:szCs w:val="24"/>
              </w:rPr>
            </w:pPr>
            <w:hyperlink r:id="rId1011" w:history="1">
              <w:r w:rsidR="00A11163" w:rsidRPr="004567E2">
                <w:rPr>
                  <w:rStyle w:val="Hyperlink"/>
                  <w:rFonts w:ascii="Times New Roman" w:hAnsi="Times New Roman" w:cs="Times New Roman"/>
                  <w:sz w:val="24"/>
                  <w:szCs w:val="24"/>
                </w:rPr>
                <w:t>Recommendation ITU-T F.746.5 “Framework for language learning system based on speech/NLP technology”</w:t>
              </w:r>
            </w:hyperlink>
            <w:r w:rsidR="00A11163" w:rsidRPr="004567E2">
              <w:rPr>
                <w:rFonts w:ascii="Times New Roman" w:hAnsi="Times New Roman" w:cs="Times New Roman"/>
                <w:sz w:val="24"/>
                <w:szCs w:val="24"/>
              </w:rPr>
              <w:t xml:space="preserve"> defines a framework for language learning system based on speech/NLP technology. Speech interface and natural language processing (NLP) technology are the advanced technology which makes a computer understand what a person says and also exchanges information in smooth conversation between a computer and a person. Speech interface and natural language processing technologies are expected to be combined with other technologies in many application areas including language learning system. NLP technology is used for understanding a user’s speech in dialogue practices in various language learning situations. More advanced dialog-based speech interface technology is also applied to foreign language learning system which simulates one-on-one conversation training. This Recommendation describes functional requirements and detailed functions for framework for language learning system </w:t>
            </w:r>
            <w:r w:rsidR="00A11163" w:rsidRPr="004567E2">
              <w:rPr>
                <w:rFonts w:ascii="Times New Roman" w:hAnsi="Times New Roman" w:cs="Times New Roman"/>
                <w:sz w:val="24"/>
                <w:szCs w:val="24"/>
              </w:rPr>
              <w:lastRenderedPageBreak/>
              <w:t>based on speech/NLP technology. It provides a framework for language learning system that will serve as a reference framework for language learning systems to be developed and used as low cost tools in many educational situations.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C2, C4, C8</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4.7, 9.1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T.4-1</w:t>
            </w:r>
          </w:p>
        </w:tc>
        <w:tc>
          <w:tcPr>
            <w:tcW w:w="756" w:type="dxa"/>
          </w:tcPr>
          <w:p w:rsidR="00A11163" w:rsidRPr="004567E2" w:rsidRDefault="00A11163" w:rsidP="00A11163">
            <w:pPr>
              <w:pStyle w:val="Default"/>
              <w:numPr>
                <w:ilvl w:val="0"/>
                <w:numId w:val="25"/>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ITU-T SG16 results</w:t>
            </w:r>
          </w:p>
        </w:tc>
        <w:tc>
          <w:tcPr>
            <w:tcW w:w="8278" w:type="dxa"/>
          </w:tcPr>
          <w:p w:rsidR="00A11163" w:rsidRPr="004567E2" w:rsidRDefault="007835EF" w:rsidP="00A11163">
            <w:pPr>
              <w:rPr>
                <w:rFonts w:ascii="Times New Roman" w:hAnsi="Times New Roman" w:cs="Times New Roman"/>
                <w:b/>
                <w:bCs/>
                <w:color w:val="000000"/>
                <w:sz w:val="24"/>
                <w:szCs w:val="24"/>
              </w:rPr>
            </w:pPr>
            <w:hyperlink r:id="rId1012" w:history="1">
              <w:r w:rsidR="00A11163" w:rsidRPr="004567E2">
                <w:rPr>
                  <w:rStyle w:val="Hyperlink"/>
                  <w:rFonts w:ascii="Times New Roman" w:hAnsi="Times New Roman" w:cs="Times New Roman"/>
                  <w:sz w:val="24"/>
                  <w:szCs w:val="24"/>
                </w:rPr>
                <w:t>Recommendation ITU-T H.625 “Architecture for network-based speech-to-speech translation services”</w:t>
              </w:r>
            </w:hyperlink>
            <w:r w:rsidR="00A11163" w:rsidRPr="004567E2">
              <w:rPr>
                <w:rFonts w:ascii="Times New Roman" w:hAnsi="Times New Roman" w:cs="Times New Roman"/>
                <w:sz w:val="24"/>
                <w:szCs w:val="24"/>
              </w:rPr>
              <w:t xml:space="preserve"> defines the system architecture for network-based speech-to-speech translation (S2ST) on the basis of Recommendation ITU-T F.745 and serves as a technical introduction to the subsequent definitions of detailed system components and protocols. The scope of this Recommendation is to describe the functional architecture and mechanisms of network</w:t>
            </w:r>
            <w:r w:rsidR="00A11163" w:rsidRPr="004567E2">
              <w:rPr>
                <w:rFonts w:ascii="Times New Roman" w:hAnsi="Times New Roman" w:cs="Times New Roman"/>
                <w:sz w:val="24"/>
                <w:szCs w:val="24"/>
              </w:rPr>
              <w:noBreakHyphen/>
              <w:t>based S2ST, interface protocols between S2ST modules, and a workflow of the network-based S2ST system.</w:t>
            </w:r>
            <w:r w:rsidR="00A11163" w:rsidRPr="004567E2">
              <w:rPr>
                <w:rFonts w:ascii="Times New Roman" w:hAnsi="Times New Roman" w:cs="Times New Roman"/>
                <w:sz w:val="24"/>
                <w:szCs w:val="24"/>
              </w:rPr>
              <w:br/>
              <w:t>This revision includes additional information to clarify that H.625 could be applicable to both face-to-face communication and remote communication. The modality conversion markup language (MCML) is also enhanced for adding more flexibility.</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C4, C8</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4.7</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T.4-1</w:t>
            </w:r>
          </w:p>
        </w:tc>
        <w:tc>
          <w:tcPr>
            <w:tcW w:w="756" w:type="dxa"/>
          </w:tcPr>
          <w:p w:rsidR="00A11163" w:rsidRPr="004567E2" w:rsidRDefault="00A11163" w:rsidP="00A11163">
            <w:pPr>
              <w:pStyle w:val="Default"/>
              <w:numPr>
                <w:ilvl w:val="0"/>
                <w:numId w:val="25"/>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TechWatch</w:t>
            </w:r>
          </w:p>
        </w:tc>
        <w:tc>
          <w:tcPr>
            <w:tcW w:w="8278" w:type="dxa"/>
          </w:tcPr>
          <w:p w:rsidR="00A11163" w:rsidRPr="004567E2" w:rsidRDefault="007835EF" w:rsidP="00A11163">
            <w:pPr>
              <w:rPr>
                <w:rFonts w:ascii="Times New Roman" w:hAnsi="Times New Roman" w:cs="Times New Roman"/>
                <w:b/>
                <w:bCs/>
                <w:color w:val="000000"/>
                <w:sz w:val="24"/>
                <w:szCs w:val="24"/>
              </w:rPr>
            </w:pPr>
            <w:hyperlink r:id="rId1013" w:history="1">
              <w:r w:rsidR="00A11163" w:rsidRPr="004567E2">
                <w:rPr>
                  <w:rStyle w:val="Hyperlink"/>
                  <w:rFonts w:ascii="Times New Roman" w:hAnsi="Times New Roman" w:cs="Times New Roman"/>
                  <w:sz w:val="24"/>
                  <w:szCs w:val="24"/>
                </w:rPr>
                <w:t>ITU-T Technology Watch Report (2010) “ICT as an Enabler for Smart Water Management</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provides an overview of how ICT can be a strategic enabler for smart water management policies and surveys upcoming ICT standards that will enable smart water initiatives.</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6.4, 9.1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T.4-1</w:t>
            </w:r>
          </w:p>
        </w:tc>
        <w:tc>
          <w:tcPr>
            <w:tcW w:w="756" w:type="dxa"/>
          </w:tcPr>
          <w:p w:rsidR="00A11163" w:rsidRPr="004567E2" w:rsidRDefault="00A11163" w:rsidP="00A11163">
            <w:pPr>
              <w:pStyle w:val="Default"/>
              <w:numPr>
                <w:ilvl w:val="0"/>
                <w:numId w:val="25"/>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TR</w:t>
            </w:r>
          </w:p>
        </w:tc>
        <w:tc>
          <w:tcPr>
            <w:tcW w:w="8278" w:type="dxa"/>
          </w:tcPr>
          <w:p w:rsidR="00A11163" w:rsidRPr="004567E2" w:rsidRDefault="00A11163" w:rsidP="00A11163">
            <w:pPr>
              <w:rPr>
                <w:rFonts w:ascii="Times New Roman" w:hAnsi="Times New Roman" w:cs="Times New Roman"/>
                <w:b/>
                <w:bCs/>
                <w:color w:val="000000"/>
                <w:sz w:val="24"/>
                <w:szCs w:val="24"/>
              </w:rPr>
            </w:pPr>
            <w:r w:rsidRPr="004567E2">
              <w:rPr>
                <w:rFonts w:ascii="Times New Roman" w:hAnsi="Times New Roman" w:cs="Times New Roman"/>
                <w:sz w:val="24"/>
                <w:szCs w:val="24"/>
              </w:rPr>
              <w:t>ITU-T Technical Report (2014) “</w:t>
            </w:r>
            <w:hyperlink r:id="rId1014" w:history="1">
              <w:r w:rsidRPr="004567E2">
                <w:rPr>
                  <w:rStyle w:val="Hyperlink"/>
                  <w:rFonts w:ascii="Times New Roman" w:hAnsi="Times New Roman" w:cs="Times New Roman"/>
                  <w:sz w:val="24"/>
                  <w:szCs w:val="24"/>
                </w:rPr>
                <w:t>Partnering for solutions: ICTs in Smart Water Management</w:t>
              </w:r>
            </w:hyperlink>
            <w:r w:rsidRPr="004567E2">
              <w:rPr>
                <w:rStyle w:val="Hyperlink"/>
                <w:rFonts w:ascii="Times New Roman" w:hAnsi="Times New Roman" w:cs="Times New Roman"/>
                <w:sz w:val="24"/>
                <w:szCs w:val="24"/>
              </w:rPr>
              <w:t>”</w:t>
            </w:r>
            <w:r w:rsidRPr="004567E2">
              <w:rPr>
                <w:rFonts w:ascii="Times New Roman" w:hAnsi="Times New Roman" w:cs="Times New Roman"/>
                <w:sz w:val="24"/>
                <w:szCs w:val="24"/>
              </w:rPr>
              <w:t xml:space="preserve"> seeks to showcase the significant roles stakeholders can play in the area of ICTs and SWM, and highlights a few SWM initiatives and their accomplishments on a national, regional and international scale. Case studies selected were chosen to highlight how ICTs can be incorporated to address some issues related to the current global water crisis such as water security, water accessibility, climate change, aging infrastructure and management. The intention is to provide an overview of ICTs as a strategic instrument in SWM. It is also envisioned to act as a catalyst for further discussion and future successful implementation of SWM initiatives worldwide.</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6.4, 9.1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T.4-1</w:t>
            </w:r>
          </w:p>
        </w:tc>
        <w:tc>
          <w:tcPr>
            <w:tcW w:w="756" w:type="dxa"/>
          </w:tcPr>
          <w:p w:rsidR="00A11163" w:rsidRPr="004567E2" w:rsidRDefault="00A11163" w:rsidP="00A11163">
            <w:pPr>
              <w:pStyle w:val="Default"/>
              <w:numPr>
                <w:ilvl w:val="0"/>
                <w:numId w:val="25"/>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Flipbook</w:t>
            </w:r>
          </w:p>
        </w:tc>
        <w:tc>
          <w:tcPr>
            <w:tcW w:w="8278" w:type="dxa"/>
          </w:tcPr>
          <w:p w:rsidR="00A11163" w:rsidRPr="004567E2" w:rsidRDefault="007835EF" w:rsidP="00A11163">
            <w:pPr>
              <w:rPr>
                <w:rFonts w:ascii="Times New Roman" w:eastAsia="Batang" w:hAnsi="Times New Roman" w:cs="Times New Roman"/>
                <w:sz w:val="24"/>
                <w:szCs w:val="24"/>
              </w:rPr>
            </w:pPr>
            <w:hyperlink r:id="rId1015" w:history="1">
              <w:r w:rsidR="00A11163" w:rsidRPr="004567E2">
                <w:rPr>
                  <w:rStyle w:val="Hyperlink"/>
                  <w:rFonts w:ascii="Times New Roman" w:hAnsi="Times New Roman" w:cs="Times New Roman"/>
                  <w:sz w:val="24"/>
                  <w:szCs w:val="24"/>
                </w:rPr>
                <w:t>Flipbook “Unleashing the potential of the Internet of Things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presents a compendium of the first set of ITU international standards for IoT, providing a resource of great value to standards experts interested in contributing to the work of ITU-T Study Group 20. This compendium is also expected to assist the wide variety of stakeholders interested in implementing these IoT standards or calling for adherence to standards in policy and regulatory frameworks relevant to IoT.</w:t>
            </w:r>
          </w:p>
        </w:tc>
        <w:tc>
          <w:tcPr>
            <w:tcW w:w="896"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C2, C4,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8.2, 9.1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T.4-1</w:t>
            </w:r>
          </w:p>
        </w:tc>
        <w:tc>
          <w:tcPr>
            <w:tcW w:w="756" w:type="dxa"/>
          </w:tcPr>
          <w:p w:rsidR="00A11163" w:rsidRPr="004567E2" w:rsidRDefault="00A11163" w:rsidP="00A11163">
            <w:pPr>
              <w:pStyle w:val="Default"/>
              <w:numPr>
                <w:ilvl w:val="0"/>
                <w:numId w:val="25"/>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TechWatch</w:t>
            </w:r>
          </w:p>
        </w:tc>
        <w:tc>
          <w:tcPr>
            <w:tcW w:w="8278" w:type="dxa"/>
          </w:tcPr>
          <w:p w:rsidR="00A11163" w:rsidRPr="004567E2" w:rsidRDefault="007835EF" w:rsidP="00A11163">
            <w:pPr>
              <w:rPr>
                <w:rStyle w:val="Hyperlink"/>
                <w:rFonts w:ascii="Times New Roman" w:hAnsi="Times New Roman" w:cs="Times New Roman"/>
                <w:sz w:val="24"/>
                <w:szCs w:val="24"/>
              </w:rPr>
            </w:pPr>
            <w:hyperlink r:id="rId1016" w:history="1">
              <w:r w:rsidR="00A11163" w:rsidRPr="004567E2">
                <w:rPr>
                  <w:rStyle w:val="Hyperlink"/>
                  <w:rFonts w:ascii="Times New Roman" w:hAnsi="Times New Roman" w:cs="Times New Roman"/>
                  <w:sz w:val="24"/>
                  <w:szCs w:val="24"/>
                </w:rPr>
                <w:t>Technology Watch Report “The Tactile Internet”</w:t>
              </w:r>
            </w:hyperlink>
            <w:r w:rsidR="00A11163" w:rsidRPr="004567E2">
              <w:rPr>
                <w:rFonts w:ascii="Times New Roman" w:hAnsi="Times New Roman" w:cs="Times New Roman"/>
                <w:sz w:val="24"/>
                <w:szCs w:val="24"/>
              </w:rPr>
              <w:t xml:space="preserve"> outlines the potential of the Tactile Internet, exploring its promise in application fields ranging from industry automation and transport systems to healthcare, education and gaming. It goes on to describe the Tactical Internet’s demands on future digital infrastructure and its expected impact on society, concluding with a brief discussion of the role to be played by the ITU framework.</w:t>
            </w:r>
          </w:p>
        </w:tc>
        <w:tc>
          <w:tcPr>
            <w:tcW w:w="896" w:type="dxa"/>
          </w:tcPr>
          <w:p w:rsidR="00A11163" w:rsidRPr="004567E2" w:rsidRDefault="00A11163" w:rsidP="00A11163">
            <w:pPr>
              <w:rPr>
                <w:rFonts w:ascii="Times New Roman" w:hAnsi="Times New Roman" w:cs="Times New Roman"/>
                <w:bCs/>
                <w:sz w:val="24"/>
                <w:szCs w:val="24"/>
              </w:rPr>
            </w:pPr>
            <w:r w:rsidRPr="004567E2">
              <w:rPr>
                <w:rFonts w:ascii="Times New Roman" w:hAnsi="Times New Roman" w:cs="Times New Roman"/>
                <w:bCs/>
                <w:sz w:val="24"/>
                <w:szCs w:val="24"/>
              </w:rPr>
              <w:t>C2, C6</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8.2, 9.1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T.4-1</w:t>
            </w:r>
          </w:p>
        </w:tc>
        <w:tc>
          <w:tcPr>
            <w:tcW w:w="756" w:type="dxa"/>
          </w:tcPr>
          <w:p w:rsidR="00A11163" w:rsidRPr="004567E2" w:rsidRDefault="00A11163" w:rsidP="00A11163">
            <w:pPr>
              <w:pStyle w:val="ListParagraph"/>
              <w:numPr>
                <w:ilvl w:val="0"/>
                <w:numId w:val="25"/>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TechWatch</w:t>
            </w:r>
          </w:p>
        </w:tc>
        <w:tc>
          <w:tcPr>
            <w:tcW w:w="8278" w:type="dxa"/>
          </w:tcPr>
          <w:p w:rsidR="00A11163" w:rsidRPr="004567E2" w:rsidRDefault="007835EF" w:rsidP="00A11163">
            <w:pPr>
              <w:rPr>
                <w:rFonts w:ascii="Times New Roman" w:hAnsi="Times New Roman" w:cs="Times New Roman"/>
                <w:bCs/>
                <w:color w:val="000000"/>
                <w:sz w:val="24"/>
                <w:szCs w:val="24"/>
              </w:rPr>
            </w:pPr>
            <w:hyperlink r:id="rId1017" w:history="1">
              <w:r w:rsidR="00A11163" w:rsidRPr="004567E2">
                <w:rPr>
                  <w:rStyle w:val="Hyperlink"/>
                  <w:rFonts w:ascii="Times New Roman" w:hAnsi="Times New Roman" w:cs="Times New Roman"/>
                  <w:sz w:val="24"/>
                  <w:szCs w:val="24"/>
                </w:rPr>
                <w:t>Technological Watch Report “The Mobile Money Revolution - Part 1: NFC Mobile Payments”</w:t>
              </w:r>
            </w:hyperlink>
            <w:r w:rsidR="00A11163" w:rsidRPr="004567E2">
              <w:rPr>
                <w:rFonts w:ascii="Times New Roman" w:hAnsi="Times New Roman" w:cs="Times New Roman"/>
                <w:color w:val="000000"/>
                <w:sz w:val="24"/>
                <w:szCs w:val="24"/>
              </w:rPr>
              <w:t xml:space="preserve"> provides the service description and requirements for distance learning services. This recommendation is intended to support the multimedia framework for distance learning services.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color w:val="000000"/>
                <w:sz w:val="24"/>
                <w:szCs w:val="24"/>
              </w:rPr>
              <w:t>C2, C3, C4</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8.10, 9.1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T.4-1</w:t>
            </w:r>
          </w:p>
        </w:tc>
        <w:tc>
          <w:tcPr>
            <w:tcW w:w="756" w:type="dxa"/>
          </w:tcPr>
          <w:p w:rsidR="00A11163" w:rsidRPr="004567E2" w:rsidRDefault="00A11163" w:rsidP="00A11163">
            <w:pPr>
              <w:pStyle w:val="ListParagraph"/>
              <w:numPr>
                <w:ilvl w:val="0"/>
                <w:numId w:val="25"/>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TechWatch</w:t>
            </w:r>
          </w:p>
        </w:tc>
        <w:tc>
          <w:tcPr>
            <w:tcW w:w="8278" w:type="dxa"/>
          </w:tcPr>
          <w:p w:rsidR="00A11163" w:rsidRPr="004567E2" w:rsidRDefault="007835EF" w:rsidP="00A11163">
            <w:pPr>
              <w:rPr>
                <w:rStyle w:val="Hyperlink"/>
                <w:rFonts w:ascii="Times New Roman" w:hAnsi="Times New Roman" w:cs="Times New Roman"/>
                <w:sz w:val="24"/>
                <w:szCs w:val="24"/>
              </w:rPr>
            </w:pPr>
            <w:hyperlink r:id="rId1018" w:history="1">
              <w:r w:rsidR="00A11163" w:rsidRPr="004567E2">
                <w:rPr>
                  <w:rStyle w:val="Hyperlink"/>
                  <w:rFonts w:ascii="Times New Roman" w:hAnsi="Times New Roman" w:cs="Times New Roman"/>
                  <w:sz w:val="24"/>
                  <w:szCs w:val="24"/>
                </w:rPr>
                <w:t>Technological Watch Report “The Mobile Money Revolution - Part 2: Financial Inclusion Enabler”</w:t>
              </w:r>
            </w:hyperlink>
            <w:r w:rsidR="00A11163" w:rsidRPr="004567E2">
              <w:rPr>
                <w:rFonts w:ascii="Times New Roman" w:hAnsi="Times New Roman" w:cs="Times New Roman"/>
                <w:sz w:val="24"/>
                <w:szCs w:val="24"/>
              </w:rPr>
              <w:t xml:space="preserve"> reviews the technical standards behind securing mobile money transfer services.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color w:val="000000"/>
                <w:sz w:val="24"/>
                <w:szCs w:val="24"/>
              </w:rPr>
              <w:t>C2, C3, C4, C5</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8.10, 9.1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T.4-1</w:t>
            </w:r>
          </w:p>
        </w:tc>
        <w:tc>
          <w:tcPr>
            <w:tcW w:w="756" w:type="dxa"/>
          </w:tcPr>
          <w:p w:rsidR="00A11163" w:rsidRPr="004567E2" w:rsidRDefault="00A11163" w:rsidP="00A11163">
            <w:pPr>
              <w:pStyle w:val="ListParagraph"/>
              <w:numPr>
                <w:ilvl w:val="0"/>
                <w:numId w:val="25"/>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TechWatch</w:t>
            </w:r>
          </w:p>
        </w:tc>
        <w:tc>
          <w:tcPr>
            <w:tcW w:w="8278" w:type="dxa"/>
          </w:tcPr>
          <w:p w:rsidR="00A11163" w:rsidRPr="004567E2" w:rsidRDefault="007835EF" w:rsidP="00A11163">
            <w:pPr>
              <w:rPr>
                <w:rFonts w:ascii="Times New Roman" w:hAnsi="Times New Roman" w:cs="Times New Roman"/>
                <w:bCs/>
                <w:color w:val="000000"/>
                <w:sz w:val="24"/>
                <w:szCs w:val="24"/>
              </w:rPr>
            </w:pPr>
            <w:hyperlink r:id="rId1019" w:history="1">
              <w:r w:rsidR="00A11163" w:rsidRPr="004567E2">
                <w:rPr>
                  <w:rStyle w:val="Hyperlink"/>
                  <w:rFonts w:ascii="Times New Roman" w:hAnsi="Times New Roman" w:cs="Times New Roman"/>
                  <w:sz w:val="24"/>
                  <w:szCs w:val="24"/>
                </w:rPr>
                <w:t>Technological Watch Report “The optical world”</w:t>
              </w:r>
            </w:hyperlink>
            <w:r w:rsidR="00A11163" w:rsidRPr="004567E2">
              <w:rPr>
                <w:rFonts w:ascii="Times New Roman" w:hAnsi="Times New Roman" w:cs="Times New Roman"/>
                <w:sz w:val="24"/>
                <w:szCs w:val="24"/>
              </w:rPr>
              <w:t xml:space="preserve"> provides an overview of the optical world and surveys standards and ongoing research work which will lead to a new generation of Internet and computing devices.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C4</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T.4-1</w:t>
            </w:r>
          </w:p>
        </w:tc>
        <w:tc>
          <w:tcPr>
            <w:tcW w:w="756" w:type="dxa"/>
          </w:tcPr>
          <w:p w:rsidR="00A11163" w:rsidRPr="004567E2" w:rsidRDefault="00A11163" w:rsidP="00A11163">
            <w:pPr>
              <w:pStyle w:val="ListParagraph"/>
              <w:numPr>
                <w:ilvl w:val="0"/>
                <w:numId w:val="25"/>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w:t>
            </w:r>
          </w:p>
        </w:tc>
        <w:tc>
          <w:tcPr>
            <w:tcW w:w="8278"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sz w:val="24"/>
                <w:szCs w:val="24"/>
              </w:rPr>
              <w:t>DVD of ITU-T Recommendations and selected Handbooks - consolidated archive of the over 4,000 ITU-T Recommendations to be used by standards developers and implementers</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9.5</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T.4-1</w:t>
            </w:r>
          </w:p>
        </w:tc>
        <w:tc>
          <w:tcPr>
            <w:tcW w:w="756" w:type="dxa"/>
          </w:tcPr>
          <w:p w:rsidR="00A11163" w:rsidRPr="004567E2" w:rsidRDefault="00A11163" w:rsidP="00A11163">
            <w:pPr>
              <w:pStyle w:val="ListParagraph"/>
              <w:numPr>
                <w:ilvl w:val="0"/>
                <w:numId w:val="25"/>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w:t>
            </w:r>
          </w:p>
        </w:tc>
        <w:tc>
          <w:tcPr>
            <w:tcW w:w="8278" w:type="dxa"/>
          </w:tcPr>
          <w:p w:rsidR="00A11163" w:rsidRPr="004567E2" w:rsidRDefault="007835EF" w:rsidP="00A11163">
            <w:pPr>
              <w:rPr>
                <w:rStyle w:val="Hyperlink"/>
                <w:rFonts w:ascii="Times New Roman" w:hAnsi="Times New Roman" w:cs="Times New Roman"/>
                <w:sz w:val="24"/>
                <w:szCs w:val="24"/>
              </w:rPr>
            </w:pPr>
            <w:hyperlink r:id="rId1020" w:history="1">
              <w:r w:rsidR="00A11163" w:rsidRPr="004567E2">
                <w:rPr>
                  <w:rStyle w:val="Hyperlink"/>
                  <w:rFonts w:ascii="Times New Roman" w:hAnsi="Times New Roman" w:cs="Times New Roman"/>
                  <w:sz w:val="24"/>
                  <w:szCs w:val="24"/>
                </w:rPr>
                <w:t>Flipbook “Unleashing the potential of the Internet of Things</w:t>
              </w:r>
            </w:hyperlink>
            <w:r w:rsidR="00A11163" w:rsidRPr="004567E2">
              <w:rPr>
                <w:rStyle w:val="Hyperlink"/>
                <w:rFonts w:ascii="Times New Roman" w:hAnsi="Times New Roman" w:cs="Times New Roman"/>
                <w:sz w:val="24"/>
                <w:szCs w:val="24"/>
              </w:rPr>
              <w:t>”</w:t>
            </w:r>
            <w:r w:rsidR="00A11163" w:rsidRPr="004567E2">
              <w:rPr>
                <w:rFonts w:ascii="Times New Roman" w:hAnsi="Times New Roman" w:cs="Times New Roman"/>
                <w:sz w:val="24"/>
                <w:szCs w:val="24"/>
              </w:rPr>
              <w:t xml:space="preserve"> presents a compendium of the first set of ITU international standards for IoT, providing a resource of great value to standards experts interested in contributing to the work of </w:t>
            </w:r>
            <w:r w:rsidR="00A11163" w:rsidRPr="004567E2">
              <w:rPr>
                <w:rFonts w:ascii="Times New Roman" w:hAnsi="Times New Roman" w:cs="Times New Roman"/>
                <w:sz w:val="24"/>
                <w:szCs w:val="24"/>
              </w:rPr>
              <w:lastRenderedPageBreak/>
              <w:t>ITU-T Study Group 20. This compendium is also expected to assist the wide variety of stakeholders interested in implementing these IoT standards or calling for adherence to standards in policy and regulatory frameworks relevant to IoT.</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C2, C6, C7</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9.1, 11.3</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T.4-1</w:t>
            </w:r>
          </w:p>
        </w:tc>
        <w:tc>
          <w:tcPr>
            <w:tcW w:w="756" w:type="dxa"/>
          </w:tcPr>
          <w:p w:rsidR="00A11163" w:rsidRPr="004567E2" w:rsidRDefault="00A11163" w:rsidP="00A11163">
            <w:pPr>
              <w:pStyle w:val="ListParagraph"/>
              <w:numPr>
                <w:ilvl w:val="0"/>
                <w:numId w:val="25"/>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mobile app</w:t>
            </w:r>
          </w:p>
        </w:tc>
        <w:tc>
          <w:tcPr>
            <w:tcW w:w="8278" w:type="dxa"/>
          </w:tcPr>
          <w:p w:rsidR="00A11163" w:rsidRPr="004567E2" w:rsidRDefault="00A11163" w:rsidP="00A11163">
            <w:pPr>
              <w:rPr>
                <w:rStyle w:val="Hyperlink"/>
                <w:rFonts w:ascii="Times New Roman" w:hAnsi="Times New Roman" w:cs="Times New Roman"/>
                <w:sz w:val="24"/>
                <w:szCs w:val="24"/>
              </w:rPr>
            </w:pPr>
            <w:r w:rsidRPr="004567E2">
              <w:rPr>
                <w:rFonts w:ascii="Times New Roman" w:hAnsi="Times New Roman" w:cs="Times New Roman"/>
                <w:sz w:val="24"/>
                <w:szCs w:val="24"/>
              </w:rPr>
              <w:t xml:space="preserve">ITU has developed an </w:t>
            </w:r>
            <w:hyperlink r:id="rId1021" w:history="1">
              <w:r w:rsidRPr="004567E2">
                <w:rPr>
                  <w:rStyle w:val="Hyperlink"/>
                  <w:rFonts w:ascii="Times New Roman" w:hAnsi="Times New Roman" w:cs="Times New Roman"/>
                  <w:sz w:val="24"/>
                  <w:szCs w:val="24"/>
                </w:rPr>
                <w:t>‘EMF Guide mobile app’</w:t>
              </w:r>
            </w:hyperlink>
            <w:r w:rsidRPr="004567E2">
              <w:rPr>
                <w:rFonts w:ascii="Times New Roman" w:hAnsi="Times New Roman" w:cs="Times New Roman"/>
                <w:sz w:val="24"/>
                <w:szCs w:val="24"/>
              </w:rPr>
              <w:t xml:space="preserve"> providing an up-to-date reference of the EMF information provided by the </w:t>
            </w:r>
            <w:hyperlink r:id="rId1022" w:history="1">
              <w:r w:rsidRPr="004567E2">
                <w:rPr>
                  <w:rStyle w:val="Hyperlink"/>
                  <w:rFonts w:ascii="Times New Roman" w:hAnsi="Times New Roman" w:cs="Times New Roman"/>
                  <w:sz w:val="24"/>
                  <w:szCs w:val="24"/>
                </w:rPr>
                <w:t>World Health Organization</w:t>
              </w:r>
            </w:hyperlink>
            <w:r w:rsidRPr="004567E2">
              <w:rPr>
                <w:rFonts w:ascii="Times New Roman" w:hAnsi="Times New Roman" w:cs="Times New Roman"/>
                <w:sz w:val="24"/>
                <w:szCs w:val="24"/>
              </w:rPr>
              <w:t> and ITU.</w:t>
            </w:r>
            <w:r w:rsidRPr="004567E2">
              <w:rPr>
                <w:rFonts w:ascii="Times New Roman" w:hAnsi="Times New Roman" w:cs="Times New Roman"/>
                <w:sz w:val="24"/>
                <w:szCs w:val="24"/>
                <w:lang w:eastAsia="en-US"/>
              </w:rPr>
              <w:t xml:space="preserve"> The ‘EMF Guide mobile app’ is available in 6 languages. In April 2016, the EMF Guide &amp; Mobile App on EMF was translated into Malay. It was launched during the Symposium </w:t>
            </w:r>
            <w:r w:rsidRPr="004567E2">
              <w:rPr>
                <w:rFonts w:ascii="Times New Roman" w:hAnsi="Times New Roman" w:cs="Times New Roman"/>
                <w:sz w:val="24"/>
                <w:szCs w:val="24"/>
              </w:rPr>
              <w:t>on ICT, Environment and Climate Change</w:t>
            </w:r>
            <w:r w:rsidRPr="004567E2">
              <w:rPr>
                <w:rFonts w:ascii="Times New Roman" w:hAnsi="Times New Roman" w:cs="Times New Roman"/>
                <w:sz w:val="24"/>
                <w:szCs w:val="24"/>
                <w:lang w:eastAsia="en-US"/>
              </w:rPr>
              <w:t xml:space="preserve"> by Dato'Jailani Johari, Deputy Minister of Communication &amp; Multimedia, Malaysia.</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T.4-1</w:t>
            </w:r>
          </w:p>
        </w:tc>
        <w:tc>
          <w:tcPr>
            <w:tcW w:w="756" w:type="dxa"/>
          </w:tcPr>
          <w:p w:rsidR="00A11163" w:rsidRPr="004567E2" w:rsidRDefault="00A11163" w:rsidP="00A11163">
            <w:pPr>
              <w:pStyle w:val="ListParagraph"/>
              <w:numPr>
                <w:ilvl w:val="0"/>
                <w:numId w:val="25"/>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TechWatch</w:t>
            </w:r>
          </w:p>
        </w:tc>
        <w:tc>
          <w:tcPr>
            <w:tcW w:w="8278" w:type="dxa"/>
          </w:tcPr>
          <w:p w:rsidR="00A11163" w:rsidRPr="004567E2" w:rsidRDefault="007835EF" w:rsidP="00A11163">
            <w:pPr>
              <w:rPr>
                <w:rStyle w:val="Hyperlink"/>
                <w:rFonts w:ascii="Times New Roman" w:hAnsi="Times New Roman" w:cs="Times New Roman"/>
                <w:sz w:val="24"/>
                <w:szCs w:val="24"/>
              </w:rPr>
            </w:pPr>
            <w:hyperlink r:id="rId1023" w:history="1">
              <w:r w:rsidR="00A11163" w:rsidRPr="004567E2">
                <w:rPr>
                  <w:rStyle w:val="Hyperlink"/>
                  <w:rFonts w:ascii="Times New Roman" w:eastAsia="Times New Roman" w:hAnsi="Times New Roman" w:cs="Times New Roman"/>
                  <w:bCs/>
                  <w:sz w:val="24"/>
                  <w:szCs w:val="24"/>
                </w:rPr>
                <w:t>ITU-T Technology Watch Report “Using submarine communications networks to monitor the climate”</w:t>
              </w:r>
            </w:hyperlink>
            <w:r w:rsidR="00A11163" w:rsidRPr="004567E2">
              <w:rPr>
                <w:rFonts w:ascii="Times New Roman" w:eastAsia="Times New Roman" w:hAnsi="Times New Roman" w:cs="Times New Roman"/>
                <w:bCs/>
                <w:color w:val="000000" w:themeColor="text1"/>
                <w:sz w:val="24"/>
                <w:szCs w:val="24"/>
              </w:rPr>
              <w:t xml:space="preserve"> gives an overview of how old and new submarine cables could be used for decades to come as a major resource and a real-time global network to monitor climate change and to provide tsunami warnings. Future generations of cables and associated components could have the capacity to directly measure climate variables, such as water temperature and salinity, as well as give pressure readings on the ocean floor. All this could be achieved over long periods of time at low cost. By encouraging technical standardization, ITU can facilitate implementation of this capacity.</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C7</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T.4-2</w:t>
            </w:r>
          </w:p>
        </w:tc>
        <w:tc>
          <w:tcPr>
            <w:tcW w:w="756" w:type="dxa"/>
          </w:tcPr>
          <w:p w:rsidR="00A11163" w:rsidRPr="004567E2" w:rsidRDefault="00A11163" w:rsidP="00A11163">
            <w:pPr>
              <w:pStyle w:val="ListParagraph"/>
              <w:numPr>
                <w:ilvl w:val="0"/>
                <w:numId w:val="25"/>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C&amp;I DB</w:t>
            </w:r>
          </w:p>
        </w:tc>
        <w:tc>
          <w:tcPr>
            <w:tcW w:w="8278" w:type="dxa"/>
          </w:tcPr>
          <w:p w:rsidR="00A11163" w:rsidRPr="004567E2" w:rsidRDefault="00A11163" w:rsidP="00A11163">
            <w:pPr>
              <w:widowControl w:val="0"/>
              <w:rPr>
                <w:rFonts w:ascii="Times New Roman" w:hAnsi="Times New Roman" w:cs="Times New Roman"/>
                <w:sz w:val="24"/>
                <w:szCs w:val="24"/>
              </w:rPr>
            </w:pPr>
            <w:r w:rsidRPr="004567E2">
              <w:rPr>
                <w:rFonts w:ascii="Times New Roman" w:hAnsi="Times New Roman" w:cs="Times New Roman"/>
                <w:sz w:val="24"/>
                <w:szCs w:val="24"/>
              </w:rPr>
              <w:t>The “ICT product conformity database” provides industry with a means to publicize the conformance of ICT products and services to ITU-T Recommendations. The database assists users in their efforts to select standards-compliant products.</w:t>
            </w:r>
          </w:p>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sz w:val="24"/>
                <w:szCs w:val="24"/>
              </w:rPr>
              <w:t>Ethernet products included in the database were found to comply with ITU-T G.8011/Y.1307 “Ethernet Services Characteristics”. This standard as well as the corresponding tests are based on the work of MEF (formerly called Metro Ethernet Forum).</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T.4-3</w:t>
            </w:r>
          </w:p>
        </w:tc>
        <w:tc>
          <w:tcPr>
            <w:tcW w:w="756" w:type="dxa"/>
          </w:tcPr>
          <w:p w:rsidR="00A11163" w:rsidRPr="004567E2" w:rsidRDefault="00A11163" w:rsidP="00A11163">
            <w:pPr>
              <w:pStyle w:val="ListParagraph"/>
              <w:numPr>
                <w:ilvl w:val="0"/>
                <w:numId w:val="26"/>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Showcase</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r w:rsidRPr="004567E2">
              <w:rPr>
                <w:rFonts w:ascii="Times New Roman" w:hAnsi="Times New Roman" w:cs="Times New Roman"/>
                <w:bCs/>
                <w:sz w:val="24"/>
                <w:szCs w:val="24"/>
              </w:rPr>
              <w:t xml:space="preserve">ITU-T organized a showcase event on IoT from 16 to 18 January 2018. This event counted with the participation of the following exhibitors: nTels; Spirent Communications, KETI and OIZOM. The showcase aimed at accelerating the </w:t>
            </w:r>
            <w:r w:rsidRPr="004567E2">
              <w:rPr>
                <w:rFonts w:ascii="Times New Roman" w:hAnsi="Times New Roman" w:cs="Times New Roman"/>
                <w:bCs/>
                <w:sz w:val="24"/>
                <w:szCs w:val="24"/>
              </w:rPr>
              <w:lastRenderedPageBreak/>
              <w:t>discussions on the development of international standards, addressing the importance of interoperability of IoT products produced by different manufacturers and demonstrating cutting edge IoT technologies to a range of attendees from ITU Member States, industry, operators, academia and others.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9.c</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T.4-3</w:t>
            </w:r>
          </w:p>
        </w:tc>
        <w:tc>
          <w:tcPr>
            <w:tcW w:w="756" w:type="dxa"/>
          </w:tcPr>
          <w:p w:rsidR="00A11163" w:rsidRPr="004567E2" w:rsidRDefault="00A11163" w:rsidP="00A11163">
            <w:pPr>
              <w:pStyle w:val="ListParagraph"/>
              <w:numPr>
                <w:ilvl w:val="0"/>
                <w:numId w:val="26"/>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promotion</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rPr>
            </w:pPr>
            <w:r w:rsidRPr="004567E2">
              <w:rPr>
                <w:rFonts w:ascii="Times New Roman" w:hAnsi="Times New Roman" w:cs="Times New Roman"/>
                <w:sz w:val="24"/>
                <w:szCs w:val="24"/>
              </w:rPr>
              <w:t>ITU-T focused ITU press release and blog articles.</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C10</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10.2</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T.4-4</w:t>
            </w:r>
          </w:p>
        </w:tc>
        <w:tc>
          <w:tcPr>
            <w:tcW w:w="756" w:type="dxa"/>
          </w:tcPr>
          <w:p w:rsidR="00A11163" w:rsidRPr="004567E2" w:rsidRDefault="00A11163" w:rsidP="00A11163">
            <w:pPr>
              <w:pStyle w:val="ListParagraph"/>
              <w:numPr>
                <w:ilvl w:val="0"/>
                <w:numId w:val="27"/>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OB</w:t>
            </w:r>
          </w:p>
        </w:tc>
        <w:tc>
          <w:tcPr>
            <w:tcW w:w="8278"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sz w:val="24"/>
                <w:szCs w:val="24"/>
              </w:rPr>
              <w:t>Notifications of national numbering/identification plan update and assignment or reclamation of national numbering/identification resources were received and published in the ITU Operational Bulletin, which is published in the six official languages twice a month.</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T.5-1</w:t>
            </w:r>
          </w:p>
        </w:tc>
        <w:tc>
          <w:tcPr>
            <w:tcW w:w="756" w:type="dxa"/>
          </w:tcPr>
          <w:p w:rsidR="00A11163" w:rsidRPr="004567E2" w:rsidRDefault="00A11163" w:rsidP="00A11163">
            <w:pPr>
              <w:pStyle w:val="Default"/>
              <w:numPr>
                <w:ilvl w:val="0"/>
                <w:numId w:val="28"/>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CITS</w:t>
            </w:r>
          </w:p>
        </w:tc>
        <w:tc>
          <w:tcPr>
            <w:tcW w:w="8278" w:type="dxa"/>
          </w:tcPr>
          <w:p w:rsidR="00A11163" w:rsidRPr="004567E2" w:rsidRDefault="00A11163" w:rsidP="00A11163">
            <w:pPr>
              <w:rPr>
                <w:rFonts w:ascii="Times New Roman" w:hAnsi="Times New Roman" w:cs="Times New Roman"/>
                <w:bCs/>
                <w:i/>
                <w:iCs/>
                <w:color w:val="000000"/>
                <w:sz w:val="24"/>
                <w:szCs w:val="24"/>
              </w:rPr>
            </w:pPr>
            <w:r w:rsidRPr="004567E2">
              <w:rPr>
                <w:rFonts w:ascii="Times New Roman" w:hAnsi="Times New Roman" w:cs="Times New Roman"/>
                <w:bCs/>
                <w:i/>
                <w:iCs/>
                <w:color w:val="000000"/>
                <w:sz w:val="24"/>
                <w:szCs w:val="24"/>
              </w:rPr>
              <w:t>ITU-T's continuous collaboration on ITS Communication Standards (SG17, SG16).</w:t>
            </w:r>
          </w:p>
          <w:p w:rsidR="00A11163" w:rsidRPr="004567E2" w:rsidRDefault="00A11163" w:rsidP="00A11163">
            <w:pPr>
              <w:pStyle w:val="Default"/>
              <w:rPr>
                <w:rFonts w:ascii="Times New Roman" w:hAnsi="Times New Roman" w:cs="Times New Roman"/>
              </w:rPr>
            </w:pPr>
            <w:r w:rsidRPr="004567E2">
              <w:rPr>
                <w:rFonts w:ascii="Times New Roman" w:hAnsi="Times New Roman" w:cs="Times New Roman"/>
              </w:rPr>
              <w:t>The Collaboration on ITS Communication Standards is a body responsible for the coordination of technical standardization work to encourage the offer of interoperable intelligent transport systems (ITS) products.</w:t>
            </w:r>
          </w:p>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rPr>
              <w:t>In order to achieve this objective, the traffic management systems need to be implemented by 2019. ITU-T´s Collaboration on ITS Communication Standards CITS has more of a coordination function; no timeline for concrete deliverables could be found; rather, CITS catalyses work in study groups, e.g. SG17, SG16.</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C7, C11</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3.6, 17.6, 17.16, 17.17</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T.5-3</w:t>
            </w:r>
          </w:p>
        </w:tc>
        <w:tc>
          <w:tcPr>
            <w:tcW w:w="756" w:type="dxa"/>
          </w:tcPr>
          <w:p w:rsidR="00A11163" w:rsidRPr="004567E2" w:rsidRDefault="00A11163" w:rsidP="00A11163">
            <w:pPr>
              <w:pStyle w:val="Default"/>
              <w:numPr>
                <w:ilvl w:val="0"/>
                <w:numId w:val="30"/>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widowControl w:val="0"/>
              <w:rPr>
                <w:rFonts w:ascii="Times New Roman" w:hAnsi="Times New Roman" w:cs="Times New Roman"/>
                <w:bCs/>
                <w:iCs/>
                <w:sz w:val="24"/>
                <w:szCs w:val="24"/>
              </w:rPr>
            </w:pPr>
            <w:r w:rsidRPr="004567E2">
              <w:rPr>
                <w:rFonts w:ascii="Times New Roman" w:hAnsi="Times New Roman" w:cs="Times New Roman"/>
                <w:bCs/>
                <w:iCs/>
                <w:sz w:val="24"/>
                <w:szCs w:val="24"/>
              </w:rPr>
              <w:t xml:space="preserve">The first World Smart City Forum, organized by IEC in partnership with ISO and ITU, was held in Singapore, 13 July 2016, co-located with the World Cities Summit </w:t>
            </w:r>
            <w:hyperlink r:id="rId1024" w:history="1">
              <w:r w:rsidRPr="004567E2">
                <w:rPr>
                  <w:rStyle w:val="Hyperlink"/>
                  <w:rFonts w:ascii="Times New Roman" w:hAnsi="Times New Roman" w:cs="Times New Roman"/>
                  <w:bCs/>
                  <w:iCs/>
                  <w:sz w:val="24"/>
                  <w:szCs w:val="24"/>
                </w:rPr>
                <w:t>www.worldcitiessummit.com.sg</w:t>
              </w:r>
            </w:hyperlink>
            <w:r w:rsidRPr="004567E2">
              <w:rPr>
                <w:rFonts w:ascii="Times New Roman" w:hAnsi="Times New Roman" w:cs="Times New Roman"/>
                <w:bCs/>
                <w:iCs/>
                <w:sz w:val="24"/>
                <w:szCs w:val="24"/>
              </w:rPr>
              <w:t xml:space="preserve"> and Singapore International Water Week </w:t>
            </w:r>
            <w:hyperlink r:id="rId1025" w:history="1">
              <w:r w:rsidRPr="004567E2">
                <w:rPr>
                  <w:rStyle w:val="Hyperlink"/>
                  <w:rFonts w:ascii="Times New Roman" w:hAnsi="Times New Roman" w:cs="Times New Roman"/>
                  <w:bCs/>
                  <w:iCs/>
                  <w:sz w:val="24"/>
                  <w:szCs w:val="24"/>
                </w:rPr>
                <w:t>www.siww.com.sg</w:t>
              </w:r>
            </w:hyperlink>
            <w:r w:rsidRPr="004567E2">
              <w:rPr>
                <w:rFonts w:ascii="Times New Roman" w:hAnsi="Times New Roman" w:cs="Times New Roman"/>
                <w:bCs/>
                <w:iCs/>
                <w:sz w:val="24"/>
                <w:szCs w:val="24"/>
              </w:rPr>
              <w:t>. The first World Smart City online community was launched in January 2016 in the approach to the Forum. Find the online community here. A Workshop on laying the foundation for Sustainable Development Goals: Role of Smart Sustainable Cities was organized by ITU and UNECE in Geneva, 2 May 2016. A Forum on shaping smarter and more sustainable cities: striving for sustainable development goals was organized by ITU, UNECE, Tecnoborsa, and the Chamber of Commerce of Rome, and hosted by Ministry of Economic Development of Italy in Rome, Italy, 18-19 May 2016.</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C4, C7, C11</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 11.2, 11.b, 17.6, 17.16, 17.17</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lastRenderedPageBreak/>
              <w:t>T.5-3</w:t>
            </w:r>
          </w:p>
        </w:tc>
        <w:tc>
          <w:tcPr>
            <w:tcW w:w="756" w:type="dxa"/>
          </w:tcPr>
          <w:p w:rsidR="00A11163" w:rsidRPr="004567E2" w:rsidRDefault="00A11163" w:rsidP="00A11163">
            <w:pPr>
              <w:pStyle w:val="Default"/>
              <w:numPr>
                <w:ilvl w:val="0"/>
                <w:numId w:val="30"/>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widowControl w:val="0"/>
              <w:rPr>
                <w:rFonts w:ascii="Times New Roman" w:hAnsi="Times New Roman" w:cs="Times New Roman"/>
                <w:bCs/>
                <w:iCs/>
                <w:sz w:val="24"/>
                <w:szCs w:val="24"/>
              </w:rPr>
            </w:pPr>
            <w:hyperlink r:id="rId1026" w:history="1">
              <w:r w:rsidR="00A11163" w:rsidRPr="004567E2">
                <w:rPr>
                  <w:rStyle w:val="Strong"/>
                  <w:rFonts w:ascii="Times New Roman" w:hAnsi="Times New Roman" w:cs="Times New Roman"/>
                  <w:b w:val="0"/>
                  <w:color w:val="0000FF"/>
                  <w:sz w:val="24"/>
                  <w:szCs w:val="24"/>
                  <w:u w:val="single"/>
                </w:rPr>
                <w:t>World Smart City Forum</w:t>
              </w:r>
              <w:r w:rsidR="00A11163" w:rsidRPr="004567E2">
                <w:rPr>
                  <w:rStyle w:val="Strong"/>
                  <w:rFonts w:ascii="Times New Roman" w:hAnsi="Times New Roman" w:cs="Times New Roman"/>
                  <w:color w:val="0000FF"/>
                  <w:sz w:val="24"/>
                  <w:szCs w:val="24"/>
                </w:rPr>
                <w:t>,</w:t>
              </w:r>
            </w:hyperlink>
            <w:r w:rsidR="00A11163" w:rsidRPr="004567E2">
              <w:rPr>
                <w:rFonts w:ascii="Times New Roman" w:hAnsi="Times New Roman" w:cs="Times New Roman"/>
                <w:sz w:val="24"/>
                <w:szCs w:val="24"/>
              </w:rPr>
              <w:t xml:space="preserve"> </w:t>
            </w:r>
            <w:r w:rsidR="00A11163" w:rsidRPr="004567E2">
              <w:rPr>
                <w:rStyle w:val="ms-rtethemeforecolor-2-0"/>
                <w:rFonts w:ascii="Times New Roman" w:hAnsi="Times New Roman" w:cs="Times New Roman"/>
                <w:sz w:val="24"/>
                <w:szCs w:val="24"/>
              </w:rPr>
              <w:t xml:space="preserve">Santa Fe, Argentina, </w:t>
            </w:r>
            <w:r w:rsidR="00A11163" w:rsidRPr="004567E2">
              <w:rPr>
                <w:rFonts w:ascii="Times New Roman" w:hAnsi="Times New Roman" w:cs="Times New Roman"/>
                <w:sz w:val="24"/>
                <w:szCs w:val="24"/>
              </w:rPr>
              <w:t>29 November 2018</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C4, C7, C11</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 11.2, 11.b, 17.6, 17.16, 17.17</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T.5-3</w:t>
            </w:r>
          </w:p>
        </w:tc>
        <w:tc>
          <w:tcPr>
            <w:tcW w:w="756" w:type="dxa"/>
          </w:tcPr>
          <w:p w:rsidR="00A11163" w:rsidRPr="004567E2" w:rsidRDefault="00A11163" w:rsidP="00A11163">
            <w:pPr>
              <w:pStyle w:val="Default"/>
              <w:numPr>
                <w:ilvl w:val="0"/>
                <w:numId w:val="30"/>
              </w:numPr>
              <w:rPr>
                <w:rFonts w:ascii="Times New Roman" w:hAnsi="Times New Roman" w:cs="Times New Roman"/>
                <w:bCs/>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widowControl w:val="0"/>
              <w:rPr>
                <w:rFonts w:ascii="Times New Roman" w:hAnsi="Times New Roman" w:cs="Times New Roman"/>
                <w:bCs/>
                <w:iCs/>
                <w:sz w:val="24"/>
                <w:szCs w:val="24"/>
              </w:rPr>
            </w:pPr>
            <w:r w:rsidRPr="004567E2">
              <w:rPr>
                <w:rFonts w:ascii="Times New Roman" w:hAnsi="Times New Roman" w:cs="Times New Roman"/>
                <w:bCs/>
                <w:iCs/>
                <w:sz w:val="24"/>
                <w:szCs w:val="24"/>
              </w:rPr>
              <w:t xml:space="preserve">Workshop on </w:t>
            </w:r>
            <w:hyperlink r:id="rId1027" w:history="1">
              <w:r w:rsidRPr="004567E2">
                <w:rPr>
                  <w:rStyle w:val="Hyperlink"/>
                  <w:rFonts w:ascii="Times New Roman" w:hAnsi="Times New Roman" w:cs="Times New Roman"/>
                  <w:bCs/>
                  <w:iCs/>
                  <w:sz w:val="24"/>
                  <w:szCs w:val="24"/>
                </w:rPr>
                <w:t>Open Source and Standards for 5G</w:t>
              </w:r>
            </w:hyperlink>
            <w:r w:rsidRPr="004567E2">
              <w:rPr>
                <w:rFonts w:ascii="Times New Roman" w:hAnsi="Times New Roman" w:cs="Times New Roman"/>
                <w:bCs/>
                <w:iCs/>
                <w:sz w:val="24"/>
                <w:szCs w:val="24"/>
              </w:rPr>
              <w:t xml:space="preserve"> organized by ITU and the NGMN Alliance at Qualcomm Headquarters in San Diego, USA, 25 May 2016.</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C4, C11</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9.1, 17.6, 17.16, 17.17</w:t>
            </w:r>
          </w:p>
        </w:tc>
      </w:tr>
      <w:tr w:rsidR="00A11163" w:rsidRPr="004567E2" w:rsidTr="00A11163">
        <w:tc>
          <w:tcPr>
            <w:tcW w:w="760"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T.5-3</w:t>
            </w:r>
          </w:p>
        </w:tc>
        <w:tc>
          <w:tcPr>
            <w:tcW w:w="756" w:type="dxa"/>
          </w:tcPr>
          <w:p w:rsidR="00A11163" w:rsidRPr="004567E2" w:rsidRDefault="00A11163" w:rsidP="00A11163">
            <w:pPr>
              <w:pStyle w:val="Default"/>
              <w:numPr>
                <w:ilvl w:val="0"/>
                <w:numId w:val="30"/>
              </w:numPr>
              <w:rPr>
                <w:rFonts w:ascii="Times New Roman" w:hAnsi="Times New Roman" w:cs="Times New Roman"/>
                <w:bCs/>
              </w:rPr>
            </w:pPr>
            <w:r w:rsidRPr="004567E2">
              <w:rPr>
                <w:rFonts w:ascii="Times New Roman" w:hAnsi="Times New Roman" w:cs="Times New Roman"/>
                <w:bCs/>
              </w:rPr>
              <w:t>1</w:t>
            </w: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rPr>
                <w:rStyle w:val="Hyperlink"/>
                <w:rFonts w:ascii="Times New Roman" w:hAnsi="Times New Roman" w:cs="Times New Roman"/>
                <w:sz w:val="24"/>
                <w:szCs w:val="24"/>
              </w:rPr>
            </w:pPr>
            <w:r w:rsidRPr="004567E2">
              <w:rPr>
                <w:rFonts w:ascii="Times New Roman" w:hAnsi="Times New Roman" w:cs="Times New Roman"/>
                <w:color w:val="000000"/>
                <w:sz w:val="24"/>
                <w:szCs w:val="24"/>
              </w:rPr>
              <w:t>Intelligent Transport System-related joint workshops: OUT-CCSA-RIOH Workshop, ITU-TIA workshop.</w:t>
            </w:r>
          </w:p>
        </w:tc>
        <w:tc>
          <w:tcPr>
            <w:tcW w:w="89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C2, C4, C7, C11</w:t>
            </w:r>
          </w:p>
        </w:tc>
        <w:tc>
          <w:tcPr>
            <w:tcW w:w="936" w:type="dxa"/>
          </w:tcPr>
          <w:p w:rsidR="00A11163" w:rsidRPr="004567E2" w:rsidRDefault="00A11163" w:rsidP="00A11163">
            <w:pPr>
              <w:pStyle w:val="Default"/>
              <w:rPr>
                <w:rFonts w:ascii="Times New Roman" w:hAnsi="Times New Roman" w:cs="Times New Roman"/>
                <w:bCs/>
              </w:rPr>
            </w:pPr>
            <w:r w:rsidRPr="004567E2">
              <w:rPr>
                <w:rFonts w:ascii="Times New Roman" w:hAnsi="Times New Roman" w:cs="Times New Roman"/>
                <w:bCs/>
              </w:rPr>
              <w:t>3.6, 9.1, 17.6, 17.16, 17.17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T.5-3</w:t>
            </w:r>
          </w:p>
        </w:tc>
        <w:tc>
          <w:tcPr>
            <w:tcW w:w="756" w:type="dxa"/>
          </w:tcPr>
          <w:p w:rsidR="00A11163" w:rsidRPr="004567E2" w:rsidRDefault="00A11163" w:rsidP="00A11163">
            <w:pPr>
              <w:pStyle w:val="ListParagraph"/>
              <w:numPr>
                <w:ilvl w:val="0"/>
                <w:numId w:val="3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eastAsia="Times New Roman" w:hAnsi="Times New Roman" w:cs="Times New Roman"/>
                <w:bCs/>
                <w:color w:val="000000" w:themeColor="text1"/>
                <w:sz w:val="24"/>
                <w:szCs w:val="24"/>
              </w:rPr>
              <w:t>A joint IEEE 802 and ITU-T Study Group 15 workshop “</w:t>
            </w:r>
            <w:hyperlink r:id="rId1028" w:history="1">
              <w:r w:rsidRPr="004567E2">
                <w:rPr>
                  <w:rStyle w:val="Hyperlink"/>
                  <w:rFonts w:ascii="Times New Roman" w:eastAsia="Times New Roman" w:hAnsi="Times New Roman" w:cs="Times New Roman"/>
                  <w:bCs/>
                  <w:sz w:val="24"/>
                  <w:szCs w:val="24"/>
                </w:rPr>
                <w:t>Building Tomorrow’s Networks</w:t>
              </w:r>
            </w:hyperlink>
            <w:r w:rsidRPr="004567E2">
              <w:rPr>
                <w:rFonts w:ascii="Times New Roman" w:eastAsia="Times New Roman" w:hAnsi="Times New Roman" w:cs="Times New Roman"/>
                <w:bCs/>
                <w:color w:val="000000" w:themeColor="text1"/>
                <w:sz w:val="24"/>
                <w:szCs w:val="24"/>
              </w:rPr>
              <w:t>”, took place Geneva, Switzerland, 27 January 2018 which focused on topics including optical interfaces, passive optical network (PON), mobile fronthaul, 5G mobile transport, management and YANG modeling.</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 xml:space="preserve">9.c, </w:t>
            </w:r>
            <w:r w:rsidRPr="004567E2">
              <w:rPr>
                <w:rFonts w:ascii="Times New Roman" w:hAnsi="Times New Roman" w:cs="Times New Roman"/>
                <w:sz w:val="24"/>
                <w:szCs w:val="24"/>
              </w:rPr>
              <w:t>9.1, 17.6, 17.16, 17.17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T.5-3</w:t>
            </w:r>
          </w:p>
        </w:tc>
        <w:tc>
          <w:tcPr>
            <w:tcW w:w="756" w:type="dxa"/>
          </w:tcPr>
          <w:p w:rsidR="00A11163" w:rsidRPr="004567E2" w:rsidRDefault="00A11163" w:rsidP="00A11163">
            <w:pPr>
              <w:pStyle w:val="ListParagraph"/>
              <w:numPr>
                <w:ilvl w:val="0"/>
                <w:numId w:val="3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WSC Academic Day</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color w:val="000000"/>
                <w:sz w:val="24"/>
                <w:szCs w:val="24"/>
              </w:rPr>
            </w:pPr>
            <w:r w:rsidRPr="004567E2">
              <w:rPr>
                <w:rFonts w:ascii="Times New Roman" w:hAnsi="Times New Roman" w:cs="Times New Roman"/>
                <w:bCs/>
                <w:iCs/>
                <w:sz w:val="24"/>
                <w:szCs w:val="24"/>
              </w:rPr>
              <w:t>IEC, ISO, and IEC organize World Standards Cooperation (WSC) Academic events, which aim at discussing the role of academia in the standards-development process. The fourth WSC Academic Day was held in Frankfurt, Germany, on 12 October 2016. The third WSC Academic Roundtable, Engaging academia in standardization for a sustainable future, was organized by ITU-T in Bangkok on 17 November 2016.</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9.1, 17.6</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T.5-3</w:t>
            </w:r>
          </w:p>
        </w:tc>
        <w:tc>
          <w:tcPr>
            <w:tcW w:w="756" w:type="dxa"/>
          </w:tcPr>
          <w:p w:rsidR="00A11163" w:rsidRPr="004567E2" w:rsidRDefault="00A11163" w:rsidP="00A11163">
            <w:pPr>
              <w:pStyle w:val="ListParagraph"/>
              <w:numPr>
                <w:ilvl w:val="0"/>
                <w:numId w:val="3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WSC Academic Day</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bCs/>
                <w:iCs/>
                <w:sz w:val="24"/>
                <w:szCs w:val="24"/>
              </w:rPr>
            </w:pPr>
            <w:hyperlink r:id="rId1029" w:history="1">
              <w:r w:rsidR="00A11163" w:rsidRPr="004567E2">
                <w:rPr>
                  <w:rStyle w:val="Strong"/>
                  <w:rFonts w:ascii="Times New Roman" w:hAnsi="Times New Roman" w:cs="Times New Roman"/>
                  <w:b w:val="0"/>
                  <w:color w:val="0000FF"/>
                  <w:sz w:val="24"/>
                  <w:szCs w:val="24"/>
                  <w:u w:val="single"/>
                </w:rPr>
                <w:t>WSC Academic Day 2017 "The value of standards and education about standardization",</w:t>
              </w:r>
              <w:r w:rsidR="00A11163" w:rsidRPr="004567E2">
                <w:rPr>
                  <w:rStyle w:val="Strong"/>
                  <w:rFonts w:ascii="Times New Roman" w:hAnsi="Times New Roman" w:cs="Times New Roman"/>
                  <w:color w:val="0000FF"/>
                  <w:sz w:val="24"/>
                  <w:szCs w:val="24"/>
                </w:rPr>
                <w:t xml:space="preserve"> </w:t>
              </w:r>
            </w:hyperlink>
            <w:r w:rsidR="00A11163" w:rsidRPr="004567E2">
              <w:rPr>
                <w:rFonts w:ascii="Times New Roman" w:hAnsi="Times New Roman" w:cs="Times New Roman"/>
                <w:sz w:val="24"/>
                <w:szCs w:val="24"/>
              </w:rPr>
              <w:t>Chicago, Illinois, United States, 10 - 11 August 2017</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9.1, 17.6</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T.5-3</w:t>
            </w:r>
          </w:p>
        </w:tc>
        <w:tc>
          <w:tcPr>
            <w:tcW w:w="756" w:type="dxa"/>
          </w:tcPr>
          <w:p w:rsidR="00A11163" w:rsidRPr="004567E2" w:rsidRDefault="00A11163" w:rsidP="00A11163">
            <w:pPr>
              <w:pStyle w:val="ListParagraph"/>
              <w:numPr>
                <w:ilvl w:val="0"/>
                <w:numId w:val="3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WSC Academic Day</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sz w:val="24"/>
                <w:szCs w:val="24"/>
              </w:rPr>
            </w:pPr>
            <w:hyperlink r:id="rId1030" w:history="1">
              <w:r w:rsidR="00A11163" w:rsidRPr="004567E2">
                <w:rPr>
                  <w:rStyle w:val="Strong"/>
                  <w:rFonts w:ascii="Times New Roman" w:hAnsi="Times New Roman" w:cs="Times New Roman"/>
                  <w:b w:val="0"/>
                  <w:color w:val="0000FF"/>
                  <w:sz w:val="24"/>
                  <w:szCs w:val="24"/>
                  <w:u w:val="single"/>
                </w:rPr>
                <w:t>ICES conference and WSC Academic Day 2018</w:t>
              </w:r>
            </w:hyperlink>
            <w:r w:rsidR="00A11163" w:rsidRPr="004567E2">
              <w:rPr>
                <w:rFonts w:ascii="Times New Roman" w:hAnsi="Times New Roman" w:cs="Times New Roman"/>
                <w:sz w:val="24"/>
                <w:szCs w:val="24"/>
              </w:rPr>
              <w:t xml:space="preserve">, </w:t>
            </w:r>
            <w:r w:rsidR="00A11163" w:rsidRPr="004567E2">
              <w:rPr>
                <w:rFonts w:ascii="Times New Roman" w:hAnsi="Times New Roman" w:cs="Times New Roman"/>
                <w:color w:val="444444"/>
                <w:sz w:val="24"/>
                <w:szCs w:val="24"/>
                <w:shd w:val="clear" w:color="auto" w:fill="FFFFFF"/>
              </w:rPr>
              <w:t>Yogyakarta, Indonesia</w:t>
            </w:r>
            <w:r w:rsidR="00A11163" w:rsidRPr="004567E2">
              <w:rPr>
                <w:rFonts w:ascii="Times New Roman" w:hAnsi="Times New Roman" w:cs="Times New Roman"/>
                <w:sz w:val="24"/>
                <w:szCs w:val="24"/>
              </w:rPr>
              <w:t>, 3-5 July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9.1, 17.6</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T.5-3</w:t>
            </w:r>
          </w:p>
        </w:tc>
        <w:tc>
          <w:tcPr>
            <w:tcW w:w="756" w:type="dxa"/>
          </w:tcPr>
          <w:p w:rsidR="00A11163" w:rsidRPr="004567E2" w:rsidRDefault="00A11163" w:rsidP="00A11163">
            <w:pPr>
              <w:pStyle w:val="ListParagraph"/>
              <w:numPr>
                <w:ilvl w:val="0"/>
                <w:numId w:val="3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rPr>
                <w:rStyle w:val="Hyperlink"/>
                <w:rFonts w:ascii="Times New Roman" w:hAnsi="Times New Roman" w:cs="Times New Roman"/>
                <w:sz w:val="24"/>
                <w:szCs w:val="24"/>
              </w:rPr>
            </w:pPr>
            <w:r w:rsidRPr="004567E2">
              <w:rPr>
                <w:rFonts w:ascii="Times New Roman" w:hAnsi="Times New Roman" w:cs="Times New Roman"/>
                <w:sz w:val="24"/>
                <w:szCs w:val="24"/>
              </w:rPr>
              <w:t xml:space="preserve">The energy efficiency of 5G systems and electromagnetic compatibility (EMC) requirements to ensure interference-free 5G operation have been identified as high-priority fields of standardization to be addressed by ITU’s expert group for ‘climate change, environment and circular economy’, </w:t>
            </w:r>
            <w:hyperlink r:id="rId1031" w:history="1">
              <w:r w:rsidRPr="004567E2">
                <w:rPr>
                  <w:rStyle w:val="Hyperlink"/>
                  <w:rFonts w:ascii="Times New Roman" w:hAnsi="Times New Roman" w:cs="Times New Roman"/>
                  <w:sz w:val="24"/>
                  <w:szCs w:val="24"/>
                </w:rPr>
                <w:t>ITU-T Study Group 5</w:t>
              </w:r>
            </w:hyperlink>
            <w:r w:rsidRPr="004567E2">
              <w:rPr>
                <w:rFonts w:ascii="Times New Roman" w:hAnsi="Times New Roman" w:cs="Times New Roman"/>
                <w:sz w:val="24"/>
                <w:szCs w:val="24"/>
              </w:rPr>
              <w:t xml:space="preserve">. This was one of the key conclusions of a </w:t>
            </w:r>
            <w:hyperlink r:id="rId1032" w:history="1">
              <w:r w:rsidRPr="004567E2">
                <w:rPr>
                  <w:rStyle w:val="Hyperlink"/>
                  <w:rFonts w:ascii="Times New Roman" w:hAnsi="Times New Roman" w:cs="Times New Roman"/>
                  <w:sz w:val="24"/>
                  <w:szCs w:val="24"/>
                </w:rPr>
                <w:t>workshop on the environmental requirements of 5G systems</w:t>
              </w:r>
            </w:hyperlink>
            <w:r w:rsidRPr="004567E2">
              <w:rPr>
                <w:rFonts w:ascii="Times New Roman" w:hAnsi="Times New Roman" w:cs="Times New Roman"/>
                <w:sz w:val="24"/>
                <w:szCs w:val="24"/>
              </w:rPr>
              <w:t xml:space="preserve"> co-organized by ITU and ETSI in Sophia Antipolis, 23 November 2017. The workshop highlighted the gains in energy efficiency to be achieved with the long-duration sleep modes supported by ultra-lean 5G system design and the increased network capacity and range enabled by massive MIMO. The workshop urged standards bodies to accelerate their work on 5G energy efficiency, calling for specifications applicable to different steps of 5G implementation.</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9.1, 13.1,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T.5-3</w:t>
            </w:r>
          </w:p>
        </w:tc>
        <w:tc>
          <w:tcPr>
            <w:tcW w:w="756" w:type="dxa"/>
          </w:tcPr>
          <w:p w:rsidR="00A11163" w:rsidRPr="004567E2" w:rsidRDefault="00A11163" w:rsidP="00A11163">
            <w:pPr>
              <w:pStyle w:val="ListParagraph"/>
              <w:numPr>
                <w:ilvl w:val="0"/>
                <w:numId w:val="3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rPr>
                <w:rStyle w:val="Hyperlink"/>
                <w:rFonts w:ascii="Times New Roman" w:hAnsi="Times New Roman" w:cs="Times New Roman"/>
                <w:sz w:val="24"/>
                <w:szCs w:val="24"/>
              </w:rPr>
            </w:pPr>
            <w:r w:rsidRPr="004567E2">
              <w:rPr>
                <w:rFonts w:ascii="Times New Roman" w:hAnsi="Times New Roman" w:cs="Times New Roman"/>
                <w:sz w:val="24"/>
                <w:szCs w:val="24"/>
              </w:rPr>
              <w:t>Joint UNU-ITU-UNIDO-WIPO-ECLAC-Basel Convention Side Event - Global E-waste Monitor and the Specific Situation in Latin America</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9.1, 12.4, 13.1,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T.5-3</w:t>
            </w:r>
          </w:p>
        </w:tc>
        <w:tc>
          <w:tcPr>
            <w:tcW w:w="756" w:type="dxa"/>
          </w:tcPr>
          <w:p w:rsidR="00A11163" w:rsidRPr="004567E2" w:rsidRDefault="00A11163" w:rsidP="00A11163">
            <w:pPr>
              <w:pStyle w:val="ListParagraph"/>
              <w:numPr>
                <w:ilvl w:val="0"/>
                <w:numId w:val="3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rPr>
                <w:rFonts w:ascii="Times New Roman" w:hAnsi="Times New Roman" w:cs="Times New Roman"/>
                <w:bCs/>
                <w:iCs/>
                <w:sz w:val="24"/>
                <w:szCs w:val="24"/>
              </w:rPr>
            </w:pPr>
            <w:r w:rsidRPr="004567E2">
              <w:rPr>
                <w:rFonts w:ascii="Times New Roman" w:hAnsi="Times New Roman" w:cs="Times New Roman"/>
                <w:bCs/>
                <w:iCs/>
                <w:sz w:val="24"/>
                <w:szCs w:val="24"/>
              </w:rPr>
              <w:t>The ITU/WMO/UNESCO-IOC Joint Task Force on SMART Cable Systems is leading an ambitious new project to equip submarine communications cables with climate and hazard-monitoring sensors. A workshop on SMART Cable Applications in Earthquake and Tsunami Science and Early Warning was organized by ITU, Deutsches GeoForschungsZentrum (GFZ) and the European Plate Observing System (EPOS) in Potsdam, Germany, 3-4 November 2016. 5th workshop on SMART Cable Systems: Latest Developments and Designing the Wet Demonstrator Project was organized by ITU, WMO and UNESCO- IOC in Dubai, United Arab Emirates, 17-18 April 2016.</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13.1, 13.b, 17.6</w:t>
            </w:r>
            <w:r w:rsidRPr="004567E2">
              <w:rPr>
                <w:rFonts w:ascii="Times New Roman" w:hAnsi="Times New Roman" w:cs="Times New Roman"/>
                <w:sz w:val="24"/>
                <w:szCs w:val="24"/>
              </w:rPr>
              <w:t>,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T.5-3</w:t>
            </w:r>
          </w:p>
        </w:tc>
        <w:tc>
          <w:tcPr>
            <w:tcW w:w="756" w:type="dxa"/>
          </w:tcPr>
          <w:p w:rsidR="00A11163" w:rsidRPr="004567E2" w:rsidRDefault="00A11163" w:rsidP="00A11163">
            <w:pPr>
              <w:pStyle w:val="ListParagraph"/>
              <w:numPr>
                <w:ilvl w:val="0"/>
                <w:numId w:val="3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rPr>
                <w:rStyle w:val="Hyperlink"/>
                <w:rFonts w:ascii="Times New Roman" w:hAnsi="Times New Roman" w:cs="Times New Roman"/>
                <w:sz w:val="24"/>
                <w:szCs w:val="24"/>
              </w:rPr>
            </w:pPr>
            <w:r w:rsidRPr="004567E2">
              <w:rPr>
                <w:rFonts w:ascii="Times New Roman" w:hAnsi="Times New Roman" w:cs="Times New Roman"/>
                <w:bCs/>
                <w:iCs/>
                <w:sz w:val="24"/>
                <w:szCs w:val="24"/>
              </w:rPr>
              <w:t>Joint UN Workshop on Towards building effective partnerships for sustainable management of e-waste was organized by ITU, the Secretariat of the Basel Convention, ECLAC, UNIDO, WHO, and WIPO in Geneva, 5 May 2016.</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9.1, 12.4, 12.5, 12.a, 17.6</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T.5-3</w:t>
            </w:r>
          </w:p>
        </w:tc>
        <w:tc>
          <w:tcPr>
            <w:tcW w:w="756" w:type="dxa"/>
          </w:tcPr>
          <w:p w:rsidR="00A11163" w:rsidRPr="004567E2" w:rsidRDefault="00A11163" w:rsidP="00A11163">
            <w:pPr>
              <w:pStyle w:val="ListParagraph"/>
              <w:numPr>
                <w:ilvl w:val="0"/>
                <w:numId w:val="3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rPr>
                <w:rStyle w:val="Hyperlink"/>
                <w:rFonts w:ascii="Times New Roman" w:hAnsi="Times New Roman" w:cs="Times New Roman"/>
                <w:sz w:val="24"/>
                <w:szCs w:val="24"/>
              </w:rPr>
            </w:pPr>
            <w:r w:rsidRPr="004567E2">
              <w:rPr>
                <w:rFonts w:ascii="Times New Roman" w:hAnsi="Times New Roman" w:cs="Times New Roman"/>
                <w:bCs/>
                <w:iCs/>
                <w:sz w:val="24"/>
                <w:szCs w:val="24"/>
              </w:rPr>
              <w:t>Workshop on Cybersecurity strategy in African countries was organized by ITU and the African Telecommunication Union (ATU) in Khartoum, Sudan, 26 July 2016.</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 C4, C5,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9.1, 17.6, </w:t>
            </w:r>
            <w:r w:rsidRPr="004567E2">
              <w:rPr>
                <w:rFonts w:ascii="Times New Roman" w:hAnsi="Times New Roman" w:cs="Times New Roman"/>
                <w:sz w:val="24"/>
                <w:szCs w:val="24"/>
              </w:rPr>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T.5-3</w:t>
            </w:r>
          </w:p>
        </w:tc>
        <w:tc>
          <w:tcPr>
            <w:tcW w:w="756" w:type="dxa"/>
          </w:tcPr>
          <w:p w:rsidR="00A11163" w:rsidRPr="004567E2" w:rsidRDefault="00A11163" w:rsidP="00A11163">
            <w:pPr>
              <w:pStyle w:val="ListParagraph"/>
              <w:numPr>
                <w:ilvl w:val="0"/>
                <w:numId w:val="3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rPr>
                <w:rFonts w:ascii="Times New Roman" w:hAnsi="Times New Roman" w:cs="Times New Roman"/>
                <w:b/>
                <w:color w:val="444444"/>
                <w:sz w:val="24"/>
                <w:szCs w:val="24"/>
                <w:u w:val="single"/>
                <w:shd w:val="clear" w:color="auto" w:fill="FFFFFF"/>
              </w:rPr>
            </w:pPr>
            <w:hyperlink r:id="rId1033" w:history="1">
              <w:r w:rsidR="00A11163" w:rsidRPr="004567E2">
                <w:rPr>
                  <w:rStyle w:val="Strong"/>
                  <w:rFonts w:ascii="Times New Roman" w:hAnsi="Times New Roman" w:cs="Times New Roman"/>
                  <w:b w:val="0"/>
                  <w:color w:val="0000FF"/>
                  <w:sz w:val="24"/>
                  <w:szCs w:val="24"/>
                  <w:u w:val="single"/>
                  <w:shd w:val="clear" w:color="auto" w:fill="FFFFFF"/>
                </w:rPr>
                <w:t>TIA/ITU Workshop on Autonomous Transportation - How Communications will Change Vehicles and Transport and CITS meeting</w:t>
              </w:r>
            </w:hyperlink>
            <w:r w:rsidR="00A11163" w:rsidRPr="004567E2">
              <w:rPr>
                <w:rFonts w:ascii="Times New Roman" w:hAnsi="Times New Roman" w:cs="Times New Roman"/>
                <w:b/>
                <w:color w:val="444444"/>
                <w:sz w:val="24"/>
                <w:szCs w:val="24"/>
                <w:u w:val="single"/>
                <w:shd w:val="clear" w:color="auto" w:fill="FFFFFF"/>
              </w:rPr>
              <w:t>,</w:t>
            </w:r>
            <w:r w:rsidR="00A11163" w:rsidRPr="004567E2">
              <w:rPr>
                <w:rFonts w:ascii="Times New Roman" w:hAnsi="Times New Roman" w:cs="Times New Roman"/>
                <w:color w:val="444444"/>
                <w:sz w:val="24"/>
                <w:szCs w:val="24"/>
                <w:shd w:val="clear" w:color="auto" w:fill="FFFFFF"/>
              </w:rPr>
              <w:t xml:space="preserve"> </w:t>
            </w:r>
            <w:r w:rsidR="00A11163" w:rsidRPr="004567E2">
              <w:rPr>
                <w:rFonts w:ascii="Times New Roman" w:hAnsi="Times New Roman" w:cs="Times New Roman"/>
                <w:sz w:val="24"/>
                <w:szCs w:val="24"/>
                <w:shd w:val="clear" w:color="auto" w:fill="FFFFFF"/>
              </w:rPr>
              <w:t>Arlington, USA, 5-6 December 2017</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9.1, 11.2,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T.5-3</w:t>
            </w:r>
          </w:p>
        </w:tc>
        <w:tc>
          <w:tcPr>
            <w:tcW w:w="756" w:type="dxa"/>
          </w:tcPr>
          <w:p w:rsidR="00A11163" w:rsidRPr="004567E2" w:rsidRDefault="00A11163" w:rsidP="00A11163">
            <w:pPr>
              <w:pStyle w:val="ListParagraph"/>
              <w:numPr>
                <w:ilvl w:val="0"/>
                <w:numId w:val="3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rPr>
                <w:rFonts w:ascii="Times New Roman" w:hAnsi="Times New Roman" w:cs="Times New Roman"/>
                <w:b/>
                <w:color w:val="444444"/>
                <w:sz w:val="24"/>
                <w:szCs w:val="24"/>
                <w:u w:val="single"/>
                <w:shd w:val="clear" w:color="auto" w:fill="FFFFFF"/>
              </w:rPr>
            </w:pPr>
            <w:hyperlink r:id="rId1034" w:history="1">
              <w:r w:rsidR="00A11163" w:rsidRPr="004567E2">
                <w:rPr>
                  <w:rStyle w:val="Hyperlink"/>
                  <w:rFonts w:ascii="Times New Roman" w:hAnsi="Times New Roman" w:cs="Times New Roman"/>
                  <w:bCs/>
                  <w:sz w:val="24"/>
                  <w:szCs w:val="24"/>
                </w:rPr>
                <w:t>ITU – ETSI joint workshop “Towards Setting Environmental Requirements for 5G”,</w:t>
              </w:r>
              <w:r w:rsidR="00A11163" w:rsidRPr="004567E2">
                <w:rPr>
                  <w:rStyle w:val="Hyperlink"/>
                  <w:rFonts w:ascii="Times New Roman" w:hAnsi="Times New Roman" w:cs="Times New Roman"/>
                  <w:b/>
                  <w:bCs/>
                  <w:sz w:val="24"/>
                  <w:szCs w:val="24"/>
                </w:rPr>
                <w:t xml:space="preserve"> </w:t>
              </w:r>
            </w:hyperlink>
            <w:r w:rsidR="00A11163" w:rsidRPr="004567E2">
              <w:rPr>
                <w:rFonts w:ascii="Times New Roman" w:hAnsi="Times New Roman" w:cs="Times New Roman"/>
                <w:sz w:val="24"/>
                <w:szCs w:val="24"/>
              </w:rPr>
              <w:t>Sophia Antipolis, France, 23 November 2017</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9.1, 13.3,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T.5-3</w:t>
            </w:r>
          </w:p>
        </w:tc>
        <w:tc>
          <w:tcPr>
            <w:tcW w:w="756" w:type="dxa"/>
          </w:tcPr>
          <w:p w:rsidR="00A11163" w:rsidRPr="004567E2" w:rsidRDefault="00A11163" w:rsidP="00A11163">
            <w:pPr>
              <w:pStyle w:val="ListParagraph"/>
              <w:numPr>
                <w:ilvl w:val="0"/>
                <w:numId w:val="3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rPr>
                <w:rStyle w:val="Strong"/>
                <w:rFonts w:ascii="Times New Roman" w:hAnsi="Times New Roman" w:cs="Times New Roman"/>
                <w:sz w:val="24"/>
                <w:szCs w:val="24"/>
              </w:rPr>
            </w:pPr>
            <w:hyperlink r:id="rId1035" w:history="1">
              <w:r w:rsidR="00A11163" w:rsidRPr="004567E2">
                <w:rPr>
                  <w:rStyle w:val="Hyperlink"/>
                  <w:rFonts w:ascii="Times New Roman" w:hAnsi="Times New Roman" w:cs="Times New Roman"/>
                  <w:bCs/>
                  <w:sz w:val="24"/>
                  <w:szCs w:val="24"/>
                </w:rPr>
                <w:t>6th Workshop on “SMART Cable Systems: Science, Demonstration and Funding”</w:t>
              </w:r>
            </w:hyperlink>
            <w:r w:rsidR="00A11163" w:rsidRPr="004567E2">
              <w:rPr>
                <w:rStyle w:val="Strong"/>
                <w:rFonts w:ascii="Times New Roman" w:hAnsi="Times New Roman" w:cs="Times New Roman"/>
                <w:sz w:val="24"/>
                <w:szCs w:val="24"/>
              </w:rPr>
              <w:t xml:space="preserve">, </w:t>
            </w:r>
            <w:r w:rsidR="00A11163" w:rsidRPr="004567E2">
              <w:rPr>
                <w:rFonts w:ascii="Times New Roman" w:hAnsi="Times New Roman" w:cs="Times New Roman"/>
                <w:sz w:val="24"/>
                <w:szCs w:val="24"/>
              </w:rPr>
              <w:t>Brest, France, 13 November 2017</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9.1,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T.5-3</w:t>
            </w:r>
          </w:p>
        </w:tc>
        <w:tc>
          <w:tcPr>
            <w:tcW w:w="756" w:type="dxa"/>
          </w:tcPr>
          <w:p w:rsidR="00A11163" w:rsidRPr="004567E2" w:rsidRDefault="00A11163" w:rsidP="00A11163">
            <w:pPr>
              <w:pStyle w:val="ListParagraph"/>
              <w:numPr>
                <w:ilvl w:val="0"/>
                <w:numId w:val="3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rPr>
                <w:rStyle w:val="Strong"/>
                <w:rFonts w:ascii="Times New Roman" w:hAnsi="Times New Roman" w:cs="Times New Roman"/>
                <w:sz w:val="24"/>
                <w:szCs w:val="24"/>
              </w:rPr>
            </w:pPr>
            <w:hyperlink r:id="rId1036" w:history="1">
              <w:r w:rsidR="00A11163" w:rsidRPr="004567E2">
                <w:rPr>
                  <w:rStyle w:val="Strong"/>
                  <w:rFonts w:ascii="Times New Roman" w:hAnsi="Times New Roman" w:cs="Times New Roman"/>
                  <w:b w:val="0"/>
                  <w:color w:val="0000FF"/>
                  <w:sz w:val="24"/>
                  <w:szCs w:val="24"/>
                  <w:u w:val="single"/>
                </w:rPr>
                <w:t>Workshop on Standards for Digital Fiat Currency (DFC)</w:t>
              </w:r>
              <w:r w:rsidR="00A11163" w:rsidRPr="004567E2">
                <w:rPr>
                  <w:rStyle w:val="Strong"/>
                  <w:rFonts w:ascii="Times New Roman" w:hAnsi="Times New Roman" w:cs="Times New Roman"/>
                  <w:b w:val="0"/>
                  <w:color w:val="0000FF"/>
                  <w:sz w:val="24"/>
                  <w:szCs w:val="24"/>
                </w:rPr>
                <w:t>,</w:t>
              </w:r>
            </w:hyperlink>
            <w:r w:rsidR="00A11163" w:rsidRPr="004567E2">
              <w:rPr>
                <w:rFonts w:ascii="Times New Roman" w:hAnsi="Times New Roman" w:cs="Times New Roman"/>
                <w:sz w:val="24"/>
                <w:szCs w:val="24"/>
              </w:rPr>
              <w:t xml:space="preserve"> Beijing, China, 12 October 2017</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8.10, 9.1,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T.5-3</w:t>
            </w:r>
          </w:p>
        </w:tc>
        <w:tc>
          <w:tcPr>
            <w:tcW w:w="756" w:type="dxa"/>
          </w:tcPr>
          <w:p w:rsidR="00A11163" w:rsidRPr="004567E2" w:rsidRDefault="00A11163" w:rsidP="00A11163">
            <w:pPr>
              <w:pStyle w:val="ListParagraph"/>
              <w:numPr>
                <w:ilvl w:val="0"/>
                <w:numId w:val="3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rPr>
                <w:rFonts w:ascii="Times New Roman" w:hAnsi="Times New Roman" w:cs="Times New Roman"/>
                <w:b/>
                <w:sz w:val="24"/>
                <w:szCs w:val="24"/>
              </w:rPr>
            </w:pPr>
            <w:hyperlink r:id="rId1037" w:history="1">
              <w:r w:rsidR="00A11163" w:rsidRPr="004567E2">
                <w:rPr>
                  <w:rStyle w:val="Strong"/>
                  <w:rFonts w:ascii="Times New Roman" w:hAnsi="Times New Roman" w:cs="Times New Roman"/>
                  <w:b w:val="0"/>
                  <w:color w:val="0000CC"/>
                  <w:sz w:val="24"/>
                  <w:szCs w:val="24"/>
                  <w:u w:val="single"/>
                  <w:shd w:val="clear" w:color="auto" w:fill="FFFFFF"/>
                </w:rPr>
                <w:t>AI for Good Global Summit</w:t>
              </w:r>
            </w:hyperlink>
            <w:r w:rsidR="00A11163" w:rsidRPr="004567E2">
              <w:rPr>
                <w:rFonts w:ascii="Times New Roman" w:hAnsi="Times New Roman" w:cs="Times New Roman"/>
                <w:b/>
                <w:color w:val="0000CC"/>
                <w:sz w:val="24"/>
                <w:szCs w:val="24"/>
                <w:u w:val="single"/>
              </w:rPr>
              <w:t>,</w:t>
            </w:r>
            <w:r w:rsidR="00A11163" w:rsidRPr="004567E2">
              <w:rPr>
                <w:rFonts w:ascii="Times New Roman" w:hAnsi="Times New Roman" w:cs="Times New Roman"/>
                <w:color w:val="0000CC"/>
                <w:sz w:val="24"/>
                <w:szCs w:val="24"/>
              </w:rPr>
              <w:t xml:space="preserve"> </w:t>
            </w:r>
            <w:r w:rsidR="00A11163" w:rsidRPr="004567E2">
              <w:rPr>
                <w:rFonts w:ascii="Times New Roman" w:hAnsi="Times New Roman" w:cs="Times New Roman"/>
                <w:sz w:val="24"/>
                <w:szCs w:val="24"/>
              </w:rPr>
              <w:t>Geneva, Switzerland, 7-9 June 2017</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 C4, C5, C6, C7, C8, C9, C10,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1.4, 2.4, 3.6, 3.8, 4.4, 4.7, 4.a, 4.b, 5.5, 5.b, 6.4, 7.a, 7.b, 8.2, 8.10, 9.1, 9.4, 9.5, 9.a, 9.c, 10.6, 11.2, 11.3, 11.5, 12.5, 13.1, 13.b, </w:t>
            </w:r>
            <w:r w:rsidRPr="004567E2">
              <w:rPr>
                <w:rFonts w:ascii="Times New Roman" w:hAnsi="Times New Roman" w:cs="Times New Roman"/>
                <w:sz w:val="24"/>
                <w:szCs w:val="24"/>
              </w:rPr>
              <w:t xml:space="preserve">17.6, </w:t>
            </w:r>
            <w:r w:rsidRPr="004567E2">
              <w:rPr>
                <w:rFonts w:ascii="Times New Roman" w:hAnsi="Times New Roman" w:cs="Times New Roman"/>
                <w:sz w:val="24"/>
                <w:szCs w:val="24"/>
              </w:rPr>
              <w:lastRenderedPageBreak/>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T.5-3</w:t>
            </w:r>
          </w:p>
        </w:tc>
        <w:tc>
          <w:tcPr>
            <w:tcW w:w="756" w:type="dxa"/>
          </w:tcPr>
          <w:p w:rsidR="00A11163" w:rsidRPr="004567E2" w:rsidRDefault="00A11163" w:rsidP="00A11163">
            <w:pPr>
              <w:pStyle w:val="ListParagraph"/>
              <w:numPr>
                <w:ilvl w:val="0"/>
                <w:numId w:val="3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rPr>
                <w:rFonts w:ascii="Times New Roman" w:hAnsi="Times New Roman" w:cs="Times New Roman"/>
                <w:b/>
                <w:color w:val="0000CC"/>
                <w:sz w:val="24"/>
                <w:szCs w:val="24"/>
                <w:u w:val="single"/>
              </w:rPr>
            </w:pPr>
            <w:hyperlink r:id="rId1038" w:history="1">
              <w:r w:rsidR="00A11163" w:rsidRPr="004567E2">
                <w:rPr>
                  <w:rStyle w:val="Strong"/>
                  <w:rFonts w:ascii="Times New Roman" w:hAnsi="Times New Roman" w:cs="Times New Roman"/>
                  <w:b w:val="0"/>
                  <w:color w:val="0000FF"/>
                  <w:sz w:val="24"/>
                  <w:szCs w:val="24"/>
                  <w:u w:val="single"/>
                </w:rPr>
                <w:t>AI for Good Global Summit</w:t>
              </w:r>
            </w:hyperlink>
            <w:r w:rsidR="00A11163" w:rsidRPr="004567E2">
              <w:rPr>
                <w:rFonts w:ascii="Times New Roman" w:hAnsi="Times New Roman" w:cs="Times New Roman"/>
                <w:b/>
                <w:sz w:val="24"/>
                <w:szCs w:val="24"/>
                <w:u w:val="single"/>
              </w:rPr>
              <w:t>,</w:t>
            </w:r>
            <w:r w:rsidR="00A11163" w:rsidRPr="004567E2">
              <w:rPr>
                <w:rFonts w:ascii="Times New Roman" w:hAnsi="Times New Roman" w:cs="Times New Roman"/>
                <w:sz w:val="24"/>
                <w:szCs w:val="24"/>
              </w:rPr>
              <w:t xml:space="preserve"> Geneva, Switzerland, 15-17 May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 C4, C5, C6, C7, C8, C9, C10,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1.4, 2.4, 3.6, 3.8, 4.4, 4.7, 4.a, 4.b, 5.5, 5.b, 6.4, 7.a, 7.b, 8.2, 8.10, 9.1, 9.4, 9.5, 9.a, 9.c, 10.6, 11.2, 11.3, 11.5, 12.5, 13.1, 13.b, </w:t>
            </w:r>
            <w:r w:rsidRPr="004567E2">
              <w:rPr>
                <w:rFonts w:ascii="Times New Roman" w:hAnsi="Times New Roman" w:cs="Times New Roman"/>
                <w:sz w:val="24"/>
                <w:szCs w:val="24"/>
              </w:rPr>
              <w:lastRenderedPageBreak/>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T.5-3</w:t>
            </w:r>
          </w:p>
        </w:tc>
        <w:tc>
          <w:tcPr>
            <w:tcW w:w="756" w:type="dxa"/>
          </w:tcPr>
          <w:p w:rsidR="00A11163" w:rsidRPr="004567E2" w:rsidRDefault="00A11163" w:rsidP="00A11163">
            <w:pPr>
              <w:pStyle w:val="ListParagraph"/>
              <w:numPr>
                <w:ilvl w:val="0"/>
                <w:numId w:val="3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rPr>
                <w:rFonts w:ascii="Times New Roman" w:hAnsi="Times New Roman" w:cs="Times New Roman"/>
                <w:b/>
                <w:color w:val="0000CC"/>
                <w:sz w:val="24"/>
                <w:szCs w:val="24"/>
                <w:u w:val="single"/>
              </w:rPr>
            </w:pPr>
            <w:hyperlink r:id="rId1039" w:history="1">
              <w:r w:rsidR="00A11163" w:rsidRPr="004567E2">
                <w:rPr>
                  <w:rStyle w:val="Hyperlink"/>
                  <w:rFonts w:ascii="Times New Roman" w:hAnsi="Times New Roman" w:cs="Times New Roman"/>
                  <w:bCs/>
                  <w:sz w:val="24"/>
                  <w:szCs w:val="24"/>
                </w:rPr>
                <w:t>Workshop on Digital Financial Services and Financial Inclusion,</w:t>
              </w:r>
            </w:hyperlink>
            <w:r w:rsidR="00A11163" w:rsidRPr="004567E2">
              <w:rPr>
                <w:rStyle w:val="Strong"/>
                <w:rFonts w:ascii="Times New Roman" w:hAnsi="Times New Roman" w:cs="Times New Roman"/>
                <w:sz w:val="24"/>
                <w:szCs w:val="24"/>
              </w:rPr>
              <w:t xml:space="preserve"> </w:t>
            </w:r>
            <w:r w:rsidR="00A11163" w:rsidRPr="004567E2">
              <w:rPr>
                <w:rStyle w:val="ms-rtethemeforecolor-2-0"/>
                <w:rFonts w:ascii="Times New Roman" w:hAnsi="Times New Roman" w:cs="Times New Roman"/>
                <w:sz w:val="24"/>
                <w:szCs w:val="24"/>
              </w:rPr>
              <w:t>Washington D.C., USA, 19 April 2017</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C1, 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8.10, 9.1, </w:t>
            </w:r>
            <w:r w:rsidRPr="004567E2">
              <w:rPr>
                <w:rFonts w:ascii="Times New Roman" w:hAnsi="Times New Roman" w:cs="Times New Roman"/>
                <w:sz w:val="24"/>
                <w:szCs w:val="24"/>
              </w:rPr>
              <w:t>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T.5-3</w:t>
            </w:r>
          </w:p>
        </w:tc>
        <w:tc>
          <w:tcPr>
            <w:tcW w:w="756" w:type="dxa"/>
          </w:tcPr>
          <w:p w:rsidR="00A11163" w:rsidRPr="004567E2" w:rsidRDefault="00A11163" w:rsidP="00A11163">
            <w:pPr>
              <w:pStyle w:val="ListParagraph"/>
              <w:numPr>
                <w:ilvl w:val="0"/>
                <w:numId w:val="3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lang w:val="en-GB"/>
              </w:rPr>
            </w:pPr>
            <w:r w:rsidRPr="004567E2">
              <w:rPr>
                <w:rFonts w:ascii="Times New Roman" w:hAnsi="Times New Roman" w:cs="Times New Roman"/>
                <w:bCs/>
                <w:iCs/>
                <w:sz w:val="24"/>
                <w:szCs w:val="24"/>
              </w:rPr>
              <w:t>ITU/UNECE Symposium on The Future Networked Car held within the Geneva International Motor Show brings together representatives of vehicle manufacturers, the automotive and ICT industries, governments and their regulators to discuss the status and future of vehicle communications and automated driving. The 11th edition of the symposium was held 9 March 2017. Workshop on How Communications will Change Vehicles and Transport was organized by ITU and the Telecommunication Technology Committee (TTC) in Japan 4-5 July 2016. Vehicle Connectivity workshop was organized by ITU and the Telecommunications Industry Association (TIA) in Detroit, US, 29-30 November 2016.</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9.c, 11.2, 17.6, </w:t>
            </w:r>
            <w:r w:rsidRPr="004567E2">
              <w:rPr>
                <w:rFonts w:ascii="Times New Roman" w:hAnsi="Times New Roman" w:cs="Times New Roman"/>
                <w:sz w:val="24"/>
                <w:szCs w:val="24"/>
              </w:rPr>
              <w:t>9.1, 17.16, 17.17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T.5-3</w:t>
            </w:r>
          </w:p>
        </w:tc>
        <w:tc>
          <w:tcPr>
            <w:tcW w:w="756" w:type="dxa"/>
          </w:tcPr>
          <w:p w:rsidR="00A11163" w:rsidRPr="004567E2" w:rsidRDefault="00A11163" w:rsidP="00A11163">
            <w:pPr>
              <w:pStyle w:val="ListParagraph"/>
              <w:numPr>
                <w:ilvl w:val="0"/>
                <w:numId w:val="3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pStyle w:val="normalWSIS"/>
              <w:numPr>
                <w:ilvl w:val="0"/>
                <w:numId w:val="0"/>
              </w:numPr>
              <w:spacing w:before="0" w:after="0"/>
              <w:jc w:val="left"/>
              <w:rPr>
                <w:rFonts w:ascii="Times New Roman" w:hAnsi="Times New Roman" w:cs="Times New Roman"/>
                <w:sz w:val="24"/>
                <w:szCs w:val="24"/>
                <w:lang w:val="en-GB"/>
              </w:rPr>
            </w:pPr>
            <w:r w:rsidRPr="004567E2">
              <w:rPr>
                <w:rFonts w:ascii="Times New Roman" w:hAnsi="Times New Roman" w:cs="Times New Roman"/>
                <w:sz w:val="24"/>
                <w:szCs w:val="24"/>
              </w:rPr>
              <w:t xml:space="preserve">An </w:t>
            </w:r>
            <w:hyperlink r:id="rId1040" w:history="1">
              <w:r w:rsidRPr="004567E2">
                <w:rPr>
                  <w:rStyle w:val="Hyperlink"/>
                  <w:rFonts w:ascii="Times New Roman" w:hAnsi="Times New Roman" w:cs="Times New Roman"/>
                  <w:color w:val="0000CC"/>
                  <w:sz w:val="24"/>
                  <w:szCs w:val="24"/>
                  <w:bdr w:val="none" w:sz="0" w:space="0" w:color="auto" w:frame="1"/>
                  <w:shd w:val="clear" w:color="auto" w:fill="FFFFFF"/>
                </w:rPr>
                <w:t>ITU/IMDA Workshop on How Communications will Change Vehicles and Transport</w:t>
              </w:r>
            </w:hyperlink>
            <w:r w:rsidRPr="004567E2">
              <w:rPr>
                <w:rFonts w:ascii="Times New Roman" w:hAnsi="Times New Roman" w:cs="Times New Roman"/>
                <w:color w:val="0000CC"/>
                <w:sz w:val="24"/>
                <w:szCs w:val="24"/>
              </w:rPr>
              <w:t xml:space="preserve"> </w:t>
            </w:r>
            <w:r w:rsidRPr="004567E2">
              <w:rPr>
                <w:rFonts w:ascii="Times New Roman" w:hAnsi="Times New Roman" w:cs="Times New Roman"/>
                <w:sz w:val="24"/>
                <w:szCs w:val="24"/>
              </w:rPr>
              <w:t>was held in Singapore on 6 July 2017. The workshop sessions discussed, inter alia, connectivity options for connected vehicles and automated driving; cybersecurity for automotive communications; how connected vehicles (and ICTs more generally) are transforming the insurance sector; and the role to be played by artificial intelligence and machine learning in future transport systems. The workshop was followed on 7 July 2017 by a meeting of the Collaboration on ITS Communication Standards (</w:t>
            </w:r>
            <w:hyperlink r:id="rId1041" w:history="1">
              <w:r w:rsidRPr="004567E2">
                <w:rPr>
                  <w:rStyle w:val="Hyperlink"/>
                  <w:rFonts w:ascii="Times New Roman" w:hAnsi="Times New Roman" w:cs="Times New Roman"/>
                  <w:color w:val="0000CC"/>
                  <w:sz w:val="24"/>
                  <w:szCs w:val="24"/>
                </w:rPr>
                <w:t>CITS</w:t>
              </w:r>
            </w:hyperlink>
            <w:r w:rsidRPr="004567E2">
              <w:rPr>
                <w:rFonts w:ascii="Times New Roman" w:hAnsi="Times New Roman" w:cs="Times New Roman"/>
                <w:sz w:val="24"/>
                <w:szCs w:val="24"/>
              </w:rPr>
              <w:t>).</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C5,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9.c, 11.2, </w:t>
            </w:r>
            <w:r w:rsidRPr="004567E2">
              <w:rPr>
                <w:rFonts w:ascii="Times New Roman" w:hAnsi="Times New Roman" w:cs="Times New Roman"/>
                <w:sz w:val="24"/>
                <w:szCs w:val="24"/>
              </w:rPr>
              <w:t>9.1, 17.6, 17.16, 17.17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T.5-3</w:t>
            </w:r>
          </w:p>
        </w:tc>
        <w:tc>
          <w:tcPr>
            <w:tcW w:w="756" w:type="dxa"/>
          </w:tcPr>
          <w:p w:rsidR="00A11163" w:rsidRPr="004567E2" w:rsidRDefault="00A11163" w:rsidP="00A11163">
            <w:pPr>
              <w:pStyle w:val="ListParagraph"/>
              <w:numPr>
                <w:ilvl w:val="0"/>
                <w:numId w:val="3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A11163" w:rsidP="00A11163">
            <w:pPr>
              <w:rPr>
                <w:rStyle w:val="Hyperlink"/>
                <w:rFonts w:ascii="Times New Roman" w:hAnsi="Times New Roman" w:cs="Times New Roman"/>
                <w:sz w:val="24"/>
                <w:szCs w:val="24"/>
              </w:rPr>
            </w:pPr>
            <w:r w:rsidRPr="004567E2">
              <w:rPr>
                <w:rFonts w:ascii="Times New Roman" w:hAnsi="Times New Roman" w:cs="Times New Roman"/>
                <w:bCs/>
                <w:iCs/>
                <w:sz w:val="24"/>
                <w:szCs w:val="24"/>
              </w:rPr>
              <w:t>ITU/WMO/OASIS Common Alerting Protocol (CAP) Jump-Start and implementation workshop</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 xml:space="preserve">C2, C4, C5, </w:t>
            </w:r>
            <w:r w:rsidRPr="004567E2">
              <w:rPr>
                <w:rFonts w:ascii="Times New Roman" w:hAnsi="Times New Roman" w:cs="Times New Roman"/>
                <w:bCs/>
                <w:color w:val="000000"/>
                <w:sz w:val="24"/>
                <w:szCs w:val="24"/>
              </w:rPr>
              <w:lastRenderedPageBreak/>
              <w:t>C7, C11</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lastRenderedPageBreak/>
              <w:t xml:space="preserve">11.5, </w:t>
            </w:r>
            <w:r w:rsidRPr="004567E2">
              <w:rPr>
                <w:rFonts w:ascii="Times New Roman" w:hAnsi="Times New Roman" w:cs="Times New Roman"/>
                <w:sz w:val="24"/>
                <w:szCs w:val="24"/>
              </w:rPr>
              <w:t xml:space="preserve">9.1, 17.6, </w:t>
            </w:r>
            <w:r w:rsidRPr="004567E2">
              <w:rPr>
                <w:rFonts w:ascii="Times New Roman" w:hAnsi="Times New Roman" w:cs="Times New Roman"/>
                <w:sz w:val="24"/>
                <w:szCs w:val="24"/>
              </w:rPr>
              <w:lastRenderedPageBreak/>
              <w:t>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T.5-3</w:t>
            </w:r>
          </w:p>
        </w:tc>
        <w:tc>
          <w:tcPr>
            <w:tcW w:w="756" w:type="dxa"/>
          </w:tcPr>
          <w:p w:rsidR="00A11163" w:rsidRPr="004567E2" w:rsidRDefault="00A11163" w:rsidP="00A11163">
            <w:pPr>
              <w:pStyle w:val="ListParagraph"/>
              <w:numPr>
                <w:ilvl w:val="0"/>
                <w:numId w:val="3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rPr>
                <w:rFonts w:ascii="Times New Roman" w:hAnsi="Times New Roman" w:cs="Times New Roman"/>
                <w:bCs/>
                <w:iCs/>
                <w:sz w:val="24"/>
                <w:szCs w:val="24"/>
              </w:rPr>
            </w:pPr>
            <w:hyperlink r:id="rId1042" w:anchor="intro" w:history="1">
              <w:r w:rsidR="00A11163" w:rsidRPr="004567E2">
                <w:rPr>
                  <w:rStyle w:val="Strong"/>
                  <w:rFonts w:ascii="Times New Roman" w:hAnsi="Times New Roman" w:cs="Times New Roman"/>
                  <w:b w:val="0"/>
                  <w:color w:val="0000CC"/>
                  <w:sz w:val="24"/>
                  <w:szCs w:val="24"/>
                  <w:u w:val="single"/>
                </w:rPr>
                <w:t>The role of International Standards and of the Basel Convention in tackling e-waste and achieving a Circular Economy</w:t>
              </w:r>
            </w:hyperlink>
            <w:r w:rsidR="00A11163" w:rsidRPr="004567E2">
              <w:rPr>
                <w:rFonts w:ascii="Times New Roman" w:hAnsi="Times New Roman" w:cs="Times New Roman"/>
                <w:sz w:val="24"/>
                <w:szCs w:val="24"/>
              </w:rPr>
              <w:t>, Geneva, Switzerland, 23 March 2018</w:t>
            </w:r>
          </w:p>
        </w:tc>
        <w:tc>
          <w:tcPr>
            <w:tcW w:w="89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bCs/>
                <w:color w:val="000000"/>
                <w:sz w:val="24"/>
                <w:szCs w:val="24"/>
              </w:rPr>
              <w:t>C2, C4, C7, C11</w:t>
            </w:r>
          </w:p>
        </w:tc>
        <w:tc>
          <w:tcPr>
            <w:tcW w:w="936" w:type="dxa"/>
          </w:tcPr>
          <w:p w:rsidR="00A11163" w:rsidRPr="004567E2" w:rsidRDefault="00A11163" w:rsidP="00A11163">
            <w:pPr>
              <w:rPr>
                <w:rFonts w:ascii="Times New Roman" w:hAnsi="Times New Roman" w:cs="Times New Roman"/>
                <w:sz w:val="24"/>
                <w:szCs w:val="24"/>
              </w:rPr>
            </w:pPr>
            <w:r w:rsidRPr="004567E2">
              <w:rPr>
                <w:rFonts w:ascii="Times New Roman" w:hAnsi="Times New Roman" w:cs="Times New Roman"/>
                <w:sz w:val="24"/>
                <w:szCs w:val="24"/>
              </w:rPr>
              <w:t>9.1, 12.2, 12.5, 12.a, 17.6,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T.5-3</w:t>
            </w:r>
          </w:p>
        </w:tc>
        <w:tc>
          <w:tcPr>
            <w:tcW w:w="756" w:type="dxa"/>
          </w:tcPr>
          <w:p w:rsidR="00A11163" w:rsidRPr="004567E2" w:rsidRDefault="00A11163" w:rsidP="00A11163">
            <w:pPr>
              <w:pStyle w:val="ListParagraph"/>
              <w:numPr>
                <w:ilvl w:val="0"/>
                <w:numId w:val="3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Style w:val="Strong"/>
                <w:rFonts w:ascii="Times New Roman" w:hAnsi="Times New Roman" w:cs="Times New Roman"/>
                <w:sz w:val="24"/>
                <w:szCs w:val="24"/>
              </w:rPr>
            </w:pPr>
            <w:hyperlink r:id="rId1043" w:history="1">
              <w:r w:rsidR="00A11163" w:rsidRPr="004567E2">
                <w:rPr>
                  <w:rStyle w:val="Strong"/>
                  <w:rFonts w:ascii="Times New Roman" w:hAnsi="Times New Roman" w:cs="Times New Roman"/>
                  <w:b w:val="0"/>
                  <w:color w:val="0000FF"/>
                  <w:sz w:val="24"/>
                  <w:szCs w:val="24"/>
                  <w:u w:val="single"/>
                </w:rPr>
                <w:t>Third meeting of the United for Smart Sustainable Cities Initiative (U4SSC)</w:t>
              </w:r>
            </w:hyperlink>
            <w:r w:rsidR="00A11163" w:rsidRPr="004567E2">
              <w:rPr>
                <w:rFonts w:ascii="Times New Roman" w:hAnsi="Times New Roman" w:cs="Times New Roman"/>
                <w:b/>
                <w:sz w:val="24"/>
                <w:szCs w:val="24"/>
                <w:u w:val="single"/>
              </w:rPr>
              <w:t>,</w:t>
            </w:r>
            <w:r w:rsidR="00A11163" w:rsidRPr="004567E2">
              <w:rPr>
                <w:rFonts w:ascii="Times New Roman" w:hAnsi="Times New Roman" w:cs="Times New Roman"/>
                <w:b/>
                <w:sz w:val="24"/>
                <w:szCs w:val="24"/>
              </w:rPr>
              <w:t xml:space="preserve"> </w:t>
            </w:r>
            <w:r w:rsidR="00A11163" w:rsidRPr="004567E2">
              <w:rPr>
                <w:rFonts w:ascii="Times New Roman" w:hAnsi="Times New Roman" w:cs="Times New Roman"/>
                <w:sz w:val="24"/>
                <w:szCs w:val="24"/>
              </w:rPr>
              <w:t>Malaga</w:t>
            </w:r>
            <w:r w:rsidR="00A11163" w:rsidRPr="004567E2">
              <w:rPr>
                <w:rFonts w:ascii="Times New Roman" w:hAnsi="Times New Roman" w:cs="Times New Roman"/>
                <w:b/>
                <w:sz w:val="24"/>
                <w:szCs w:val="24"/>
              </w:rPr>
              <w:t>,</w:t>
            </w:r>
            <w:r w:rsidR="00A11163" w:rsidRPr="004567E2">
              <w:rPr>
                <w:rFonts w:ascii="Times New Roman" w:hAnsi="Times New Roman" w:cs="Times New Roman"/>
                <w:sz w:val="24"/>
                <w:szCs w:val="24"/>
              </w:rPr>
              <w:t xml:space="preserve"> Spain, 26 April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9.c, 17.6, </w:t>
            </w:r>
            <w:r w:rsidRPr="004567E2">
              <w:rPr>
                <w:rFonts w:ascii="Times New Roman" w:hAnsi="Times New Roman" w:cs="Times New Roman"/>
                <w:sz w:val="24"/>
                <w:szCs w:val="24"/>
              </w:rPr>
              <w:t>9.1, 11.2, 11.3, 11.5, 11.6, 11.6, 17.16, 17.17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T.5-3</w:t>
            </w:r>
          </w:p>
        </w:tc>
        <w:tc>
          <w:tcPr>
            <w:tcW w:w="756" w:type="dxa"/>
          </w:tcPr>
          <w:p w:rsidR="00A11163" w:rsidRPr="004567E2" w:rsidRDefault="00A11163" w:rsidP="00A11163">
            <w:pPr>
              <w:pStyle w:val="ListParagraph"/>
              <w:numPr>
                <w:ilvl w:val="0"/>
                <w:numId w:val="3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b/>
                <w:sz w:val="24"/>
                <w:szCs w:val="24"/>
                <w:u w:val="single"/>
              </w:rPr>
            </w:pPr>
            <w:hyperlink r:id="rId1044" w:history="1">
              <w:r w:rsidR="00A11163" w:rsidRPr="004567E2">
                <w:rPr>
                  <w:rStyle w:val="Strong"/>
                  <w:rFonts w:ascii="Times New Roman" w:hAnsi="Times New Roman" w:cs="Times New Roman"/>
                  <w:b w:val="0"/>
                  <w:color w:val="0000CC"/>
                  <w:sz w:val="24"/>
                  <w:szCs w:val="24"/>
                  <w:u w:val="single"/>
                  <w:shd w:val="clear" w:color="auto" w:fill="FFFFFF"/>
                </w:rPr>
                <w:t>1st Forum on Artificial Intelligence and the Internet of Things in Smart Sustainable Cities in Latin America</w:t>
              </w:r>
              <w:r w:rsidR="00A11163" w:rsidRPr="004567E2">
                <w:rPr>
                  <w:rStyle w:val="Strong"/>
                  <w:rFonts w:ascii="Times New Roman" w:hAnsi="Times New Roman" w:cs="Times New Roman"/>
                  <w:color w:val="0000CC"/>
                  <w:sz w:val="24"/>
                  <w:szCs w:val="24"/>
                  <w:u w:val="single"/>
                  <w:shd w:val="clear" w:color="auto" w:fill="FFFFFF"/>
                </w:rPr>
                <w:t>,</w:t>
              </w:r>
              <w:r w:rsidR="00A11163" w:rsidRPr="004567E2">
                <w:rPr>
                  <w:rStyle w:val="Strong"/>
                  <w:rFonts w:ascii="Times New Roman" w:hAnsi="Times New Roman" w:cs="Times New Roman"/>
                  <w:color w:val="3789BD"/>
                  <w:sz w:val="24"/>
                  <w:szCs w:val="24"/>
                  <w:shd w:val="clear" w:color="auto" w:fill="FFFFFF"/>
                </w:rPr>
                <w:t xml:space="preserve"> </w:t>
              </w:r>
            </w:hyperlink>
            <w:r w:rsidR="00A11163" w:rsidRPr="004567E2">
              <w:rPr>
                <w:rFonts w:ascii="Times New Roman" w:hAnsi="Times New Roman" w:cs="Times New Roman"/>
                <w:sz w:val="24"/>
                <w:szCs w:val="24"/>
              </w:rPr>
              <w:t>Buenos Aires, Argentina, 29-30 May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9.c, 17.6, </w:t>
            </w:r>
            <w:r w:rsidRPr="004567E2">
              <w:rPr>
                <w:rFonts w:ascii="Times New Roman" w:hAnsi="Times New Roman" w:cs="Times New Roman"/>
                <w:sz w:val="24"/>
                <w:szCs w:val="24"/>
              </w:rPr>
              <w:t>9.1, 11.2, 11.3, 11.5, 11.6, 11.6, 17.16, 17.17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T.5-3</w:t>
            </w:r>
          </w:p>
        </w:tc>
        <w:tc>
          <w:tcPr>
            <w:tcW w:w="756" w:type="dxa"/>
          </w:tcPr>
          <w:p w:rsidR="00A11163" w:rsidRPr="004567E2" w:rsidRDefault="00A11163" w:rsidP="00A11163">
            <w:pPr>
              <w:pStyle w:val="ListParagraph"/>
              <w:numPr>
                <w:ilvl w:val="0"/>
                <w:numId w:val="3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sz w:val="24"/>
                <w:szCs w:val="24"/>
              </w:rPr>
            </w:pPr>
            <w:hyperlink r:id="rId1045" w:history="1">
              <w:r w:rsidR="00A11163" w:rsidRPr="004567E2">
                <w:rPr>
                  <w:rStyle w:val="Strong"/>
                  <w:rFonts w:ascii="Times New Roman" w:hAnsi="Times New Roman" w:cs="Times New Roman"/>
                  <w:b w:val="0"/>
                  <w:color w:val="0000FF"/>
                  <w:sz w:val="24"/>
                  <w:szCs w:val="24"/>
                  <w:u w:val="single"/>
                </w:rPr>
                <w:t>2018 HLPF Side Event: "Shaping Smarter and More Sustainable Cities: Striving for Sustainable Development Goals"</w:t>
              </w:r>
            </w:hyperlink>
            <w:r w:rsidR="00A11163" w:rsidRPr="004567E2">
              <w:rPr>
                <w:rFonts w:ascii="Times New Roman" w:hAnsi="Times New Roman" w:cs="Times New Roman"/>
                <w:b/>
                <w:sz w:val="24"/>
                <w:szCs w:val="24"/>
                <w:u w:val="single"/>
              </w:rPr>
              <w:t>,</w:t>
            </w:r>
            <w:r w:rsidR="00A11163" w:rsidRPr="004567E2">
              <w:rPr>
                <w:rFonts w:ascii="Times New Roman" w:hAnsi="Times New Roman" w:cs="Times New Roman"/>
                <w:sz w:val="24"/>
                <w:szCs w:val="24"/>
              </w:rPr>
              <w:t xml:space="preserve"> New York, United States, 12 July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9.c, 17.6, </w:t>
            </w:r>
            <w:r w:rsidRPr="004567E2">
              <w:rPr>
                <w:rFonts w:ascii="Times New Roman" w:hAnsi="Times New Roman" w:cs="Times New Roman"/>
                <w:sz w:val="24"/>
                <w:szCs w:val="24"/>
              </w:rPr>
              <w:t>9.1, 11.2, 11.3, 11.5, 11.6, 11.6, 17.16, 17.17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T.5-3</w:t>
            </w:r>
          </w:p>
        </w:tc>
        <w:tc>
          <w:tcPr>
            <w:tcW w:w="756" w:type="dxa"/>
          </w:tcPr>
          <w:p w:rsidR="00A11163" w:rsidRPr="004567E2" w:rsidRDefault="00A11163" w:rsidP="00A11163">
            <w:pPr>
              <w:pStyle w:val="ListParagraph"/>
              <w:numPr>
                <w:ilvl w:val="0"/>
                <w:numId w:val="3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b/>
                <w:sz w:val="24"/>
                <w:szCs w:val="24"/>
                <w:u w:val="single"/>
              </w:rPr>
            </w:pPr>
            <w:hyperlink r:id="rId1046" w:history="1">
              <w:r w:rsidR="00A11163" w:rsidRPr="004567E2">
                <w:rPr>
                  <w:rStyle w:val="Strong"/>
                  <w:rFonts w:ascii="Times New Roman" w:hAnsi="Times New Roman" w:cs="Times New Roman"/>
                  <w:b w:val="0"/>
                  <w:color w:val="0000FF"/>
                  <w:sz w:val="24"/>
                  <w:szCs w:val="24"/>
                  <w:u w:val="single"/>
                </w:rPr>
                <w:t>International Forum on Intelligent Transport Systems (ITS)</w:t>
              </w:r>
            </w:hyperlink>
            <w:r w:rsidR="00A11163" w:rsidRPr="004567E2">
              <w:rPr>
                <w:rFonts w:ascii="Times New Roman" w:hAnsi="Times New Roman" w:cs="Times New Roman"/>
                <w:sz w:val="24"/>
                <w:szCs w:val="24"/>
              </w:rPr>
              <w:t>, Nanjing, China, 6-7 September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9.c, 17.6, </w:t>
            </w:r>
            <w:r w:rsidRPr="004567E2">
              <w:rPr>
                <w:rFonts w:ascii="Times New Roman" w:hAnsi="Times New Roman" w:cs="Times New Roman"/>
                <w:sz w:val="24"/>
                <w:szCs w:val="24"/>
              </w:rPr>
              <w:t>9.1, 11.2, 17.16, 17.17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T.5-3</w:t>
            </w:r>
          </w:p>
        </w:tc>
        <w:tc>
          <w:tcPr>
            <w:tcW w:w="756" w:type="dxa"/>
          </w:tcPr>
          <w:p w:rsidR="00A11163" w:rsidRPr="004567E2" w:rsidRDefault="00A11163" w:rsidP="00A11163">
            <w:pPr>
              <w:pStyle w:val="ListParagraph"/>
              <w:numPr>
                <w:ilvl w:val="0"/>
                <w:numId w:val="3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b/>
                <w:sz w:val="24"/>
                <w:szCs w:val="24"/>
                <w:u w:val="single"/>
              </w:rPr>
            </w:pPr>
            <w:hyperlink r:id="rId1047" w:history="1">
              <w:r w:rsidR="00A11163" w:rsidRPr="004567E2">
                <w:rPr>
                  <w:rStyle w:val="Strong"/>
                  <w:rFonts w:ascii="Times New Roman" w:hAnsi="Times New Roman" w:cs="Times New Roman"/>
                  <w:b w:val="0"/>
                  <w:color w:val="0000FF"/>
                  <w:sz w:val="24"/>
                  <w:szCs w:val="24"/>
                  <w:u w:val="single"/>
                </w:rPr>
                <w:t>Smart ABC Incubator - Powering Innovation through Technology Disruption</w:t>
              </w:r>
            </w:hyperlink>
            <w:r w:rsidR="00A11163" w:rsidRPr="004567E2">
              <w:rPr>
                <w:rFonts w:ascii="Times New Roman" w:hAnsi="Times New Roman" w:cs="Times New Roman"/>
                <w:sz w:val="24"/>
                <w:szCs w:val="24"/>
              </w:rPr>
              <w:t>, Durban, South Africa, 12 September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8.10, 9.c, 17.6, </w:t>
            </w:r>
            <w:r w:rsidRPr="004567E2">
              <w:rPr>
                <w:rFonts w:ascii="Times New Roman" w:hAnsi="Times New Roman" w:cs="Times New Roman"/>
                <w:sz w:val="24"/>
                <w:szCs w:val="24"/>
              </w:rPr>
              <w:t>9.1, 11.2, 11.3, 11.5, 11.6, 11.b,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T.5-3</w:t>
            </w:r>
          </w:p>
        </w:tc>
        <w:tc>
          <w:tcPr>
            <w:tcW w:w="756" w:type="dxa"/>
          </w:tcPr>
          <w:p w:rsidR="00A11163" w:rsidRPr="004567E2" w:rsidRDefault="00A11163" w:rsidP="00A11163">
            <w:pPr>
              <w:pStyle w:val="ListParagraph"/>
              <w:numPr>
                <w:ilvl w:val="0"/>
                <w:numId w:val="3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b/>
                <w:sz w:val="24"/>
                <w:szCs w:val="24"/>
                <w:u w:val="single"/>
              </w:rPr>
            </w:pPr>
            <w:hyperlink r:id="rId1048" w:history="1">
              <w:r w:rsidR="00A11163" w:rsidRPr="004567E2">
                <w:rPr>
                  <w:rStyle w:val="Strong"/>
                  <w:rFonts w:ascii="Times New Roman" w:hAnsi="Times New Roman" w:cs="Times New Roman"/>
                  <w:b w:val="0"/>
                  <w:color w:val="0000FF"/>
                  <w:sz w:val="24"/>
                  <w:szCs w:val="24"/>
                  <w:u w:val="single"/>
                </w:rPr>
                <w:t>ITU Workshop on "Artificial Intelligence for Health"</w:t>
              </w:r>
            </w:hyperlink>
            <w:r w:rsidR="00A11163" w:rsidRPr="004567E2">
              <w:rPr>
                <w:rFonts w:ascii="Times New Roman" w:hAnsi="Times New Roman" w:cs="Times New Roman"/>
                <w:sz w:val="24"/>
                <w:szCs w:val="24"/>
              </w:rPr>
              <w:t>, Geneva, Switzerland, 25 September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C2, C4, </w:t>
            </w:r>
            <w:r w:rsidRPr="004567E2">
              <w:rPr>
                <w:rFonts w:ascii="Times New Roman" w:hAnsi="Times New Roman" w:cs="Times New Roman"/>
                <w:bCs/>
                <w:color w:val="000000"/>
                <w:sz w:val="24"/>
                <w:szCs w:val="24"/>
              </w:rPr>
              <w:lastRenderedPageBreak/>
              <w:t>C7,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 xml:space="preserve">3.6, 3.8, </w:t>
            </w:r>
            <w:r w:rsidRPr="004567E2">
              <w:rPr>
                <w:rFonts w:ascii="Times New Roman" w:hAnsi="Times New Roman" w:cs="Times New Roman"/>
                <w:bCs/>
                <w:color w:val="000000"/>
                <w:sz w:val="24"/>
                <w:szCs w:val="24"/>
              </w:rPr>
              <w:lastRenderedPageBreak/>
              <w:t xml:space="preserve">9.c, 17.6, </w:t>
            </w:r>
            <w:r w:rsidRPr="004567E2">
              <w:rPr>
                <w:rFonts w:ascii="Times New Roman" w:hAnsi="Times New Roman" w:cs="Times New Roman"/>
                <w:sz w:val="24"/>
                <w:szCs w:val="24"/>
              </w:rPr>
              <w:t>9.1, 17.16, 17.17</w:t>
            </w:r>
          </w:p>
        </w:tc>
      </w:tr>
      <w:tr w:rsidR="00A11163" w:rsidRPr="004567E2" w:rsidTr="00A11163">
        <w:tc>
          <w:tcPr>
            <w:tcW w:w="760"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lastRenderedPageBreak/>
              <w:t>T.5-3</w:t>
            </w:r>
          </w:p>
        </w:tc>
        <w:tc>
          <w:tcPr>
            <w:tcW w:w="756" w:type="dxa"/>
          </w:tcPr>
          <w:p w:rsidR="00A11163" w:rsidRPr="004567E2" w:rsidRDefault="00A11163" w:rsidP="00A11163">
            <w:pPr>
              <w:pStyle w:val="ListParagraph"/>
              <w:numPr>
                <w:ilvl w:val="0"/>
                <w:numId w:val="30"/>
              </w:numPr>
              <w:contextualSpacing w:val="0"/>
              <w:rPr>
                <w:rFonts w:ascii="Times New Roman" w:hAnsi="Times New Roman" w:cs="Times New Roman"/>
                <w:bCs/>
                <w:color w:val="000000"/>
                <w:sz w:val="24"/>
                <w:szCs w:val="24"/>
              </w:rPr>
            </w:pPr>
          </w:p>
        </w:tc>
        <w:tc>
          <w:tcPr>
            <w:tcW w:w="2403"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ITU-T WS</w:t>
            </w:r>
          </w:p>
        </w:tc>
        <w:tc>
          <w:tcPr>
            <w:tcW w:w="8278" w:type="dxa"/>
          </w:tcPr>
          <w:p w:rsidR="00A11163" w:rsidRPr="004567E2" w:rsidRDefault="007835EF" w:rsidP="00A11163">
            <w:pPr>
              <w:pStyle w:val="normalWSIS"/>
              <w:numPr>
                <w:ilvl w:val="0"/>
                <w:numId w:val="0"/>
              </w:numPr>
              <w:spacing w:before="0" w:after="0"/>
              <w:jc w:val="left"/>
              <w:rPr>
                <w:rFonts w:ascii="Times New Roman" w:hAnsi="Times New Roman" w:cs="Times New Roman"/>
                <w:b/>
                <w:sz w:val="24"/>
                <w:szCs w:val="24"/>
                <w:u w:val="single"/>
              </w:rPr>
            </w:pPr>
            <w:hyperlink r:id="rId1049" w:history="1">
              <w:r w:rsidR="00A11163" w:rsidRPr="004567E2">
                <w:rPr>
                  <w:rStyle w:val="Strong"/>
                  <w:rFonts w:ascii="Times New Roman" w:hAnsi="Times New Roman" w:cs="Times New Roman"/>
                  <w:b w:val="0"/>
                  <w:color w:val="0000FF"/>
                  <w:sz w:val="24"/>
                  <w:szCs w:val="24"/>
                  <w:u w:val="single"/>
                </w:rPr>
                <w:t>ITU/SAE Workshop on "How communications will change vehicles and transport"</w:t>
              </w:r>
            </w:hyperlink>
            <w:r w:rsidR="00A11163" w:rsidRPr="004567E2">
              <w:rPr>
                <w:rFonts w:ascii="Times New Roman" w:hAnsi="Times New Roman" w:cs="Times New Roman"/>
                <w:sz w:val="24"/>
                <w:szCs w:val="24"/>
              </w:rPr>
              <w:t>, Detroit, MI, United States, 8-9 October 2018</w:t>
            </w:r>
          </w:p>
        </w:tc>
        <w:tc>
          <w:tcPr>
            <w:tcW w:w="89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C2, C4, C11</w:t>
            </w:r>
          </w:p>
        </w:tc>
        <w:tc>
          <w:tcPr>
            <w:tcW w:w="936" w:type="dxa"/>
          </w:tcPr>
          <w:p w:rsidR="00A11163" w:rsidRPr="004567E2" w:rsidRDefault="00A11163" w:rsidP="00A11163">
            <w:pPr>
              <w:rPr>
                <w:rFonts w:ascii="Times New Roman" w:hAnsi="Times New Roman" w:cs="Times New Roman"/>
                <w:bCs/>
                <w:color w:val="000000"/>
                <w:sz w:val="24"/>
                <w:szCs w:val="24"/>
              </w:rPr>
            </w:pPr>
            <w:r w:rsidRPr="004567E2">
              <w:rPr>
                <w:rFonts w:ascii="Times New Roman" w:hAnsi="Times New Roman" w:cs="Times New Roman"/>
                <w:bCs/>
                <w:color w:val="000000"/>
                <w:sz w:val="24"/>
                <w:szCs w:val="24"/>
              </w:rPr>
              <w:t xml:space="preserve">3.8, 9.c, 11.2, 17.6, </w:t>
            </w:r>
            <w:r w:rsidRPr="004567E2">
              <w:rPr>
                <w:rFonts w:ascii="Times New Roman" w:hAnsi="Times New Roman" w:cs="Times New Roman"/>
                <w:sz w:val="24"/>
                <w:szCs w:val="24"/>
              </w:rPr>
              <w:t>9.1, 17.16, 17.17</w:t>
            </w:r>
          </w:p>
        </w:tc>
      </w:tr>
    </w:tbl>
    <w:p w:rsidR="004F16BA" w:rsidRPr="000C3648" w:rsidRDefault="00D82B1E" w:rsidP="00D82B1E">
      <w:pPr>
        <w:pStyle w:val="Default"/>
        <w:jc w:val="center"/>
        <w:rPr>
          <w:rFonts w:ascii="Times New Roman" w:hAnsi="Times New Roman" w:cs="Times New Roman"/>
        </w:rPr>
      </w:pPr>
      <w:r w:rsidRPr="004567E2">
        <w:rPr>
          <w:rFonts w:ascii="Times New Roman" w:hAnsi="Times New Roman" w:cs="Times New Roman"/>
        </w:rPr>
        <w:t>_____</w:t>
      </w:r>
    </w:p>
    <w:sectPr w:rsidR="004F16BA" w:rsidRPr="000C3648" w:rsidSect="00D82B1E">
      <w:headerReference w:type="default" r:id="rId1050"/>
      <w:pgSz w:w="16840" w:h="11907" w:orient="landscape" w:code="9"/>
      <w:pgMar w:top="1134" w:right="1417" w:bottom="1134" w:left="1417"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0E83" w:rsidRDefault="009F0E83" w:rsidP="00116AD5">
      <w:pPr>
        <w:spacing w:after="0" w:line="240" w:lineRule="auto"/>
      </w:pPr>
      <w:r>
        <w:separator/>
      </w:r>
    </w:p>
  </w:endnote>
  <w:endnote w:type="continuationSeparator" w:id="0">
    <w:p w:rsidR="009F0E83" w:rsidRDefault="009F0E83" w:rsidP="00116A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Roboto">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0E83" w:rsidRDefault="009F0E83" w:rsidP="00116AD5">
      <w:pPr>
        <w:spacing w:after="0" w:line="240" w:lineRule="auto"/>
      </w:pPr>
      <w:r>
        <w:separator/>
      </w:r>
    </w:p>
  </w:footnote>
  <w:footnote w:type="continuationSeparator" w:id="0">
    <w:p w:rsidR="009F0E83" w:rsidRDefault="009F0E83" w:rsidP="00116AD5">
      <w:pPr>
        <w:spacing w:after="0" w:line="240" w:lineRule="auto"/>
      </w:pPr>
      <w:r>
        <w:continuationSeparator/>
      </w:r>
    </w:p>
  </w:footnote>
  <w:footnote w:id="1">
    <w:p w:rsidR="00020DFA" w:rsidRPr="005A70DB" w:rsidRDefault="00020DFA" w:rsidP="00A11163">
      <w:pPr>
        <w:pStyle w:val="FootnoteText"/>
      </w:pPr>
      <w:r>
        <w:rPr>
          <w:rStyle w:val="FootnoteReference"/>
          <w:rFonts w:eastAsia="Batang"/>
        </w:rPr>
        <w:footnoteRef/>
      </w:r>
      <w:r>
        <w:t xml:space="preserve"> </w:t>
      </w:r>
      <w:r w:rsidRPr="005A70DB">
        <w:t xml:space="preserve">Science Monitoring and </w:t>
      </w:r>
      <w:r>
        <w:t>Reliable</w:t>
      </w:r>
      <w:r w:rsidRPr="005A70DB">
        <w:t xml:space="preserve"> Telecommunications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DFA" w:rsidRPr="001B2BBE" w:rsidRDefault="00020DFA" w:rsidP="00454EFE">
    <w:pPr>
      <w:pStyle w:val="Header"/>
    </w:pPr>
    <w:r w:rsidRPr="001B2BBE">
      <w:t xml:space="preserve">- </w:t>
    </w:r>
    <w:r>
      <w:fldChar w:fldCharType="begin"/>
    </w:r>
    <w:r>
      <w:instrText xml:space="preserve"> PAGE  \* MERGEFORMAT </w:instrText>
    </w:r>
    <w:r>
      <w:fldChar w:fldCharType="separate"/>
    </w:r>
    <w:r w:rsidR="007835EF">
      <w:rPr>
        <w:noProof/>
      </w:rPr>
      <w:t>2</w:t>
    </w:r>
    <w:r>
      <w:rPr>
        <w:noProof/>
      </w:rPr>
      <w:fldChar w:fldCharType="end"/>
    </w:r>
    <w:r w:rsidRPr="001B2BBE">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2D95"/>
    <w:multiLevelType w:val="hybridMultilevel"/>
    <w:tmpl w:val="F3EE94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15A0F83"/>
    <w:multiLevelType w:val="hybridMultilevel"/>
    <w:tmpl w:val="A0A09CC8"/>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665186"/>
    <w:multiLevelType w:val="hybridMultilevel"/>
    <w:tmpl w:val="B0BA441E"/>
    <w:lvl w:ilvl="0" w:tplc="6F5EEEB6">
      <w:start w:val="1"/>
      <w:numFmt w:val="bullet"/>
      <w:lvlText w:val=""/>
      <w:lvlJc w:val="left"/>
      <w:pPr>
        <w:ind w:left="355" w:hanging="360"/>
      </w:pPr>
      <w:rPr>
        <w:rFonts w:ascii="Wingdings" w:hAnsi="Wingdings" w:hint="default"/>
      </w:rPr>
    </w:lvl>
    <w:lvl w:ilvl="1" w:tplc="04090003" w:tentative="1">
      <w:start w:val="1"/>
      <w:numFmt w:val="bullet"/>
      <w:lvlText w:val="o"/>
      <w:lvlJc w:val="left"/>
      <w:pPr>
        <w:ind w:left="1075" w:hanging="360"/>
      </w:pPr>
      <w:rPr>
        <w:rFonts w:ascii="Courier New" w:hAnsi="Courier New" w:cs="Courier New" w:hint="default"/>
      </w:rPr>
    </w:lvl>
    <w:lvl w:ilvl="2" w:tplc="04090005" w:tentative="1">
      <w:start w:val="1"/>
      <w:numFmt w:val="bullet"/>
      <w:lvlText w:val=""/>
      <w:lvlJc w:val="left"/>
      <w:pPr>
        <w:ind w:left="1795" w:hanging="360"/>
      </w:pPr>
      <w:rPr>
        <w:rFonts w:ascii="Wingdings" w:hAnsi="Wingdings" w:hint="default"/>
      </w:rPr>
    </w:lvl>
    <w:lvl w:ilvl="3" w:tplc="04090001" w:tentative="1">
      <w:start w:val="1"/>
      <w:numFmt w:val="bullet"/>
      <w:lvlText w:val=""/>
      <w:lvlJc w:val="left"/>
      <w:pPr>
        <w:ind w:left="2515" w:hanging="360"/>
      </w:pPr>
      <w:rPr>
        <w:rFonts w:ascii="Symbol" w:hAnsi="Symbol" w:hint="default"/>
      </w:rPr>
    </w:lvl>
    <w:lvl w:ilvl="4" w:tplc="04090003" w:tentative="1">
      <w:start w:val="1"/>
      <w:numFmt w:val="bullet"/>
      <w:lvlText w:val="o"/>
      <w:lvlJc w:val="left"/>
      <w:pPr>
        <w:ind w:left="3235" w:hanging="360"/>
      </w:pPr>
      <w:rPr>
        <w:rFonts w:ascii="Courier New" w:hAnsi="Courier New" w:cs="Courier New" w:hint="default"/>
      </w:rPr>
    </w:lvl>
    <w:lvl w:ilvl="5" w:tplc="04090005" w:tentative="1">
      <w:start w:val="1"/>
      <w:numFmt w:val="bullet"/>
      <w:lvlText w:val=""/>
      <w:lvlJc w:val="left"/>
      <w:pPr>
        <w:ind w:left="3955" w:hanging="360"/>
      </w:pPr>
      <w:rPr>
        <w:rFonts w:ascii="Wingdings" w:hAnsi="Wingdings" w:hint="default"/>
      </w:rPr>
    </w:lvl>
    <w:lvl w:ilvl="6" w:tplc="04090001" w:tentative="1">
      <w:start w:val="1"/>
      <w:numFmt w:val="bullet"/>
      <w:lvlText w:val=""/>
      <w:lvlJc w:val="left"/>
      <w:pPr>
        <w:ind w:left="4675" w:hanging="360"/>
      </w:pPr>
      <w:rPr>
        <w:rFonts w:ascii="Symbol" w:hAnsi="Symbol" w:hint="default"/>
      </w:rPr>
    </w:lvl>
    <w:lvl w:ilvl="7" w:tplc="04090003" w:tentative="1">
      <w:start w:val="1"/>
      <w:numFmt w:val="bullet"/>
      <w:lvlText w:val="o"/>
      <w:lvlJc w:val="left"/>
      <w:pPr>
        <w:ind w:left="5395" w:hanging="360"/>
      </w:pPr>
      <w:rPr>
        <w:rFonts w:ascii="Courier New" w:hAnsi="Courier New" w:cs="Courier New" w:hint="default"/>
      </w:rPr>
    </w:lvl>
    <w:lvl w:ilvl="8" w:tplc="04090005" w:tentative="1">
      <w:start w:val="1"/>
      <w:numFmt w:val="bullet"/>
      <w:lvlText w:val=""/>
      <w:lvlJc w:val="left"/>
      <w:pPr>
        <w:ind w:left="6115" w:hanging="360"/>
      </w:pPr>
      <w:rPr>
        <w:rFonts w:ascii="Wingdings" w:hAnsi="Wingdings" w:hint="default"/>
      </w:rPr>
    </w:lvl>
  </w:abstractNum>
  <w:abstractNum w:abstractNumId="3" w15:restartNumberingAfterBreak="0">
    <w:nsid w:val="0BB6098B"/>
    <w:multiLevelType w:val="hybridMultilevel"/>
    <w:tmpl w:val="9AD20A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9F6AE2"/>
    <w:multiLevelType w:val="hybridMultilevel"/>
    <w:tmpl w:val="3A369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57296D"/>
    <w:multiLevelType w:val="multilevel"/>
    <w:tmpl w:val="A0902A28"/>
    <w:lvl w:ilvl="0">
      <w:start w:val="1"/>
      <w:numFmt w:val="decimal"/>
      <w:lvlText w:val="%1."/>
      <w:lvlJc w:val="left"/>
      <w:pPr>
        <w:tabs>
          <w:tab w:val="num" w:pos="360"/>
        </w:tabs>
        <w:ind w:left="360" w:hanging="360"/>
      </w:pPr>
      <w:rPr>
        <w:rFonts w:hint="default"/>
        <w:b w:val="0"/>
        <w:bCs w:val="0"/>
        <w:i w:val="0"/>
        <w:iCs w:val="0"/>
        <w:sz w:val="24"/>
        <w:szCs w:val="24"/>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D0E3561"/>
    <w:multiLevelType w:val="hybridMultilevel"/>
    <w:tmpl w:val="B518C7DC"/>
    <w:lvl w:ilvl="0" w:tplc="DE26D2D6">
      <w:start w:val="1"/>
      <w:numFmt w:val="decimal"/>
      <w:pStyle w:val="normalWSIS"/>
      <w:lvlText w:val="%1."/>
      <w:lvlJc w:val="left"/>
      <w:pPr>
        <w:ind w:left="1352" w:hanging="360"/>
      </w:pPr>
      <w:rPr>
        <w:rFonts w:ascii="Calibri" w:hAnsi="Calibri" w:cstheme="majorBidi" w:hint="default"/>
        <w:b w:val="0"/>
        <w:bCs w:val="0"/>
        <w:i w:val="0"/>
        <w:iCs w:val="0"/>
        <w:color w:val="auto"/>
        <w:sz w:val="24"/>
        <w:szCs w:val="24"/>
        <w:lang w:val="en-US"/>
      </w:rPr>
    </w:lvl>
    <w:lvl w:ilvl="1" w:tplc="04090019">
      <w:start w:val="1"/>
      <w:numFmt w:val="lowerLetter"/>
      <w:lvlText w:val="%2."/>
      <w:lvlJc w:val="left"/>
      <w:pPr>
        <w:ind w:left="-2247" w:hanging="360"/>
      </w:pPr>
    </w:lvl>
    <w:lvl w:ilvl="2" w:tplc="0409001B">
      <w:start w:val="1"/>
      <w:numFmt w:val="lowerRoman"/>
      <w:lvlText w:val="%3."/>
      <w:lvlJc w:val="right"/>
      <w:pPr>
        <w:ind w:left="-1527" w:hanging="180"/>
      </w:pPr>
    </w:lvl>
    <w:lvl w:ilvl="3" w:tplc="0409000F">
      <w:start w:val="1"/>
      <w:numFmt w:val="decimal"/>
      <w:lvlText w:val="%4."/>
      <w:lvlJc w:val="left"/>
      <w:pPr>
        <w:ind w:left="-807" w:hanging="360"/>
      </w:pPr>
    </w:lvl>
    <w:lvl w:ilvl="4" w:tplc="04090019">
      <w:start w:val="1"/>
      <w:numFmt w:val="lowerLetter"/>
      <w:lvlText w:val="%5."/>
      <w:lvlJc w:val="left"/>
      <w:pPr>
        <w:ind w:left="-87" w:hanging="360"/>
      </w:pPr>
    </w:lvl>
    <w:lvl w:ilvl="5" w:tplc="04090001">
      <w:start w:val="1"/>
      <w:numFmt w:val="bullet"/>
      <w:lvlText w:val=""/>
      <w:lvlJc w:val="left"/>
      <w:pPr>
        <w:ind w:left="888" w:hanging="435"/>
      </w:pPr>
      <w:rPr>
        <w:rFonts w:ascii="Symbol" w:hAnsi="Symbol" w:hint="default"/>
        <w:color w:val="auto"/>
      </w:rPr>
    </w:lvl>
    <w:lvl w:ilvl="6" w:tplc="04090001">
      <w:start w:val="1"/>
      <w:numFmt w:val="bullet"/>
      <w:lvlText w:val=""/>
      <w:lvlJc w:val="left"/>
      <w:pPr>
        <w:ind w:left="1353" w:hanging="360"/>
      </w:pPr>
      <w:rPr>
        <w:rFonts w:ascii="Symbol" w:hAnsi="Symbol" w:hint="default"/>
      </w:rPr>
    </w:lvl>
    <w:lvl w:ilvl="7" w:tplc="04090019">
      <w:start w:val="1"/>
      <w:numFmt w:val="lowerLetter"/>
      <w:lvlText w:val="%8."/>
      <w:lvlJc w:val="left"/>
      <w:pPr>
        <w:ind w:left="2073" w:hanging="360"/>
      </w:pPr>
    </w:lvl>
    <w:lvl w:ilvl="8" w:tplc="0409001B">
      <w:start w:val="1"/>
      <w:numFmt w:val="lowerRoman"/>
      <w:lvlText w:val="%9."/>
      <w:lvlJc w:val="right"/>
      <w:pPr>
        <w:ind w:left="2793" w:hanging="180"/>
      </w:pPr>
    </w:lvl>
  </w:abstractNum>
  <w:abstractNum w:abstractNumId="7" w15:restartNumberingAfterBreak="0">
    <w:nsid w:val="334F14F3"/>
    <w:multiLevelType w:val="hybridMultilevel"/>
    <w:tmpl w:val="A85671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6866553"/>
    <w:multiLevelType w:val="hybridMultilevel"/>
    <w:tmpl w:val="2E9A45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A0122E"/>
    <w:multiLevelType w:val="hybridMultilevel"/>
    <w:tmpl w:val="632AA5D2"/>
    <w:lvl w:ilvl="0" w:tplc="04090001">
      <w:start w:val="1"/>
      <w:numFmt w:val="bullet"/>
      <w:lvlText w:val=""/>
      <w:lvlJc w:val="left"/>
      <w:pPr>
        <w:ind w:left="717" w:hanging="360"/>
      </w:pPr>
      <w:rPr>
        <w:rFonts w:ascii="Symbol" w:hAnsi="Symbol" w:hint="default"/>
        <w:b w:val="0"/>
        <w:bCs w:val="0"/>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0" w15:restartNumberingAfterBreak="0">
    <w:nsid w:val="38E743F1"/>
    <w:multiLevelType w:val="hybridMultilevel"/>
    <w:tmpl w:val="B79ED268"/>
    <w:lvl w:ilvl="0" w:tplc="0C50CDD4">
      <w:numFmt w:val="bullet"/>
      <w:lvlText w:val="•"/>
      <w:lvlJc w:val="left"/>
      <w:pPr>
        <w:ind w:left="717" w:hanging="717"/>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2426E0"/>
    <w:multiLevelType w:val="hybridMultilevel"/>
    <w:tmpl w:val="E26008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B001EA7"/>
    <w:multiLevelType w:val="hybridMultilevel"/>
    <w:tmpl w:val="5E1CB9E6"/>
    <w:lvl w:ilvl="0" w:tplc="04090001">
      <w:start w:val="1"/>
      <w:numFmt w:val="bullet"/>
      <w:lvlText w:val=""/>
      <w:lvlJc w:val="left"/>
      <w:pPr>
        <w:ind w:left="360" w:hanging="360"/>
      </w:pPr>
      <w:rPr>
        <w:rFonts w:ascii="Symbol" w:hAnsi="Symbol" w:hint="default"/>
        <w:b w:val="0"/>
        <w:bCs w:val="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2CD791E"/>
    <w:multiLevelType w:val="hybridMultilevel"/>
    <w:tmpl w:val="80D4E6DE"/>
    <w:lvl w:ilvl="0" w:tplc="EE04D892">
      <w:start w:val="17"/>
      <w:numFmt w:val="bullet"/>
      <w:lvlText w:val="-"/>
      <w:lvlJc w:val="left"/>
      <w:pPr>
        <w:ind w:left="18" w:hanging="360"/>
      </w:pPr>
      <w:rPr>
        <w:rFonts w:ascii="Roboto" w:eastAsia="Times New Roman" w:hAnsi="Roboto" w:cs="Times New Roman" w:hint="default"/>
      </w:rPr>
    </w:lvl>
    <w:lvl w:ilvl="1" w:tplc="04070003" w:tentative="1">
      <w:start w:val="1"/>
      <w:numFmt w:val="bullet"/>
      <w:lvlText w:val="o"/>
      <w:lvlJc w:val="left"/>
      <w:pPr>
        <w:ind w:left="738" w:hanging="360"/>
      </w:pPr>
      <w:rPr>
        <w:rFonts w:ascii="Courier New" w:hAnsi="Courier New" w:cs="Courier New" w:hint="default"/>
      </w:rPr>
    </w:lvl>
    <w:lvl w:ilvl="2" w:tplc="04070005" w:tentative="1">
      <w:start w:val="1"/>
      <w:numFmt w:val="bullet"/>
      <w:lvlText w:val=""/>
      <w:lvlJc w:val="left"/>
      <w:pPr>
        <w:ind w:left="1458" w:hanging="360"/>
      </w:pPr>
      <w:rPr>
        <w:rFonts w:ascii="Wingdings" w:hAnsi="Wingdings" w:hint="default"/>
      </w:rPr>
    </w:lvl>
    <w:lvl w:ilvl="3" w:tplc="04070001" w:tentative="1">
      <w:start w:val="1"/>
      <w:numFmt w:val="bullet"/>
      <w:lvlText w:val=""/>
      <w:lvlJc w:val="left"/>
      <w:pPr>
        <w:ind w:left="2178" w:hanging="360"/>
      </w:pPr>
      <w:rPr>
        <w:rFonts w:ascii="Symbol" w:hAnsi="Symbol" w:hint="default"/>
      </w:rPr>
    </w:lvl>
    <w:lvl w:ilvl="4" w:tplc="04070003" w:tentative="1">
      <w:start w:val="1"/>
      <w:numFmt w:val="bullet"/>
      <w:lvlText w:val="o"/>
      <w:lvlJc w:val="left"/>
      <w:pPr>
        <w:ind w:left="2898" w:hanging="360"/>
      </w:pPr>
      <w:rPr>
        <w:rFonts w:ascii="Courier New" w:hAnsi="Courier New" w:cs="Courier New" w:hint="default"/>
      </w:rPr>
    </w:lvl>
    <w:lvl w:ilvl="5" w:tplc="04070005" w:tentative="1">
      <w:start w:val="1"/>
      <w:numFmt w:val="bullet"/>
      <w:lvlText w:val=""/>
      <w:lvlJc w:val="left"/>
      <w:pPr>
        <w:ind w:left="3618" w:hanging="360"/>
      </w:pPr>
      <w:rPr>
        <w:rFonts w:ascii="Wingdings" w:hAnsi="Wingdings" w:hint="default"/>
      </w:rPr>
    </w:lvl>
    <w:lvl w:ilvl="6" w:tplc="04070001" w:tentative="1">
      <w:start w:val="1"/>
      <w:numFmt w:val="bullet"/>
      <w:lvlText w:val=""/>
      <w:lvlJc w:val="left"/>
      <w:pPr>
        <w:ind w:left="4338" w:hanging="360"/>
      </w:pPr>
      <w:rPr>
        <w:rFonts w:ascii="Symbol" w:hAnsi="Symbol" w:hint="default"/>
      </w:rPr>
    </w:lvl>
    <w:lvl w:ilvl="7" w:tplc="04070003" w:tentative="1">
      <w:start w:val="1"/>
      <w:numFmt w:val="bullet"/>
      <w:lvlText w:val="o"/>
      <w:lvlJc w:val="left"/>
      <w:pPr>
        <w:ind w:left="5058" w:hanging="360"/>
      </w:pPr>
      <w:rPr>
        <w:rFonts w:ascii="Courier New" w:hAnsi="Courier New" w:cs="Courier New" w:hint="default"/>
      </w:rPr>
    </w:lvl>
    <w:lvl w:ilvl="8" w:tplc="04070005" w:tentative="1">
      <w:start w:val="1"/>
      <w:numFmt w:val="bullet"/>
      <w:lvlText w:val=""/>
      <w:lvlJc w:val="left"/>
      <w:pPr>
        <w:ind w:left="5778" w:hanging="360"/>
      </w:pPr>
      <w:rPr>
        <w:rFonts w:ascii="Wingdings" w:hAnsi="Wingdings" w:hint="default"/>
      </w:rPr>
    </w:lvl>
  </w:abstractNum>
  <w:abstractNum w:abstractNumId="14" w15:restartNumberingAfterBreak="0">
    <w:nsid w:val="48076A51"/>
    <w:multiLevelType w:val="hybridMultilevel"/>
    <w:tmpl w:val="A422438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8D263AC"/>
    <w:multiLevelType w:val="hybridMultilevel"/>
    <w:tmpl w:val="0F046CD4"/>
    <w:lvl w:ilvl="0" w:tplc="3C58460E">
      <w:start w:val="1"/>
      <w:numFmt w:val="decimal"/>
      <w:lvlText w:val="%1."/>
      <w:lvlJc w:val="left"/>
      <w:pPr>
        <w:ind w:left="360" w:hanging="360"/>
      </w:pPr>
      <w:rPr>
        <w:rFonts w:hint="default"/>
        <w:b w:val="0"/>
        <w:bCs w:val="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AF56C54"/>
    <w:multiLevelType w:val="hybridMultilevel"/>
    <w:tmpl w:val="57A611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2467EF"/>
    <w:multiLevelType w:val="hybridMultilevel"/>
    <w:tmpl w:val="CCD6BB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13D5FC4"/>
    <w:multiLevelType w:val="hybridMultilevel"/>
    <w:tmpl w:val="3468C2FE"/>
    <w:lvl w:ilvl="0" w:tplc="04090001">
      <w:start w:val="1"/>
      <w:numFmt w:val="bullet"/>
      <w:lvlText w:val=""/>
      <w:lvlJc w:val="left"/>
      <w:pPr>
        <w:ind w:left="360" w:hanging="360"/>
      </w:pPr>
      <w:rPr>
        <w:rFonts w:ascii="Symbol" w:hAnsi="Symbol" w:hint="default"/>
        <w:b w:val="0"/>
        <w:bCs w:val="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30D5BBC"/>
    <w:multiLevelType w:val="hybridMultilevel"/>
    <w:tmpl w:val="2A8E08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69C5665"/>
    <w:multiLevelType w:val="hybridMultilevel"/>
    <w:tmpl w:val="2F7288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8EE6D1E"/>
    <w:multiLevelType w:val="hybridMultilevel"/>
    <w:tmpl w:val="CE3A34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A1B00B2"/>
    <w:multiLevelType w:val="hybridMultilevel"/>
    <w:tmpl w:val="A41C61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E1750E7"/>
    <w:multiLevelType w:val="hybridMultilevel"/>
    <w:tmpl w:val="F46425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4A67C48"/>
    <w:multiLevelType w:val="hybridMultilevel"/>
    <w:tmpl w:val="5FA602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7B55470"/>
    <w:multiLevelType w:val="hybridMultilevel"/>
    <w:tmpl w:val="9AECF9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89F5CE6"/>
    <w:multiLevelType w:val="hybridMultilevel"/>
    <w:tmpl w:val="7ADCACAA"/>
    <w:lvl w:ilvl="0" w:tplc="04090001">
      <w:start w:val="1"/>
      <w:numFmt w:val="bullet"/>
      <w:lvlText w:val=""/>
      <w:lvlJc w:val="left"/>
      <w:pPr>
        <w:ind w:left="720" w:hanging="360"/>
      </w:pPr>
      <w:rPr>
        <w:rFonts w:ascii="Symbol" w:hAnsi="Symbol" w:hint="default"/>
        <w:b w:val="0"/>
        <w:bCs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3740C2"/>
    <w:multiLevelType w:val="hybridMultilevel"/>
    <w:tmpl w:val="246245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07F105E"/>
    <w:multiLevelType w:val="hybridMultilevel"/>
    <w:tmpl w:val="329036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5B200EB"/>
    <w:multiLevelType w:val="hybridMultilevel"/>
    <w:tmpl w:val="2EC8F6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66A1ABE"/>
    <w:multiLevelType w:val="hybridMultilevel"/>
    <w:tmpl w:val="2D56A39E"/>
    <w:lvl w:ilvl="0" w:tplc="04090001">
      <w:start w:val="1"/>
      <w:numFmt w:val="bullet"/>
      <w:lvlText w:val=""/>
      <w:lvlJc w:val="left"/>
      <w:pPr>
        <w:ind w:left="720" w:hanging="360"/>
      </w:pPr>
      <w:rPr>
        <w:rFonts w:ascii="Symbol" w:hAnsi="Symbol" w:hint="default"/>
        <w:b w:val="0"/>
        <w:bCs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E32EC0"/>
    <w:multiLevelType w:val="hybridMultilevel"/>
    <w:tmpl w:val="40FEAD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3"/>
  </w:num>
  <w:num w:numId="2">
    <w:abstractNumId w:val="15"/>
  </w:num>
  <w:num w:numId="3">
    <w:abstractNumId w:val="5"/>
  </w:num>
  <w:num w:numId="4">
    <w:abstractNumId w:val="7"/>
  </w:num>
  <w:num w:numId="5">
    <w:abstractNumId w:val="26"/>
  </w:num>
  <w:num w:numId="6">
    <w:abstractNumId w:val="4"/>
  </w:num>
  <w:num w:numId="7">
    <w:abstractNumId w:val="1"/>
  </w:num>
  <w:num w:numId="8">
    <w:abstractNumId w:val="2"/>
  </w:num>
  <w:num w:numId="9">
    <w:abstractNumId w:val="9"/>
  </w:num>
  <w:num w:numId="10">
    <w:abstractNumId w:val="18"/>
  </w:num>
  <w:num w:numId="11">
    <w:abstractNumId w:val="30"/>
  </w:num>
  <w:num w:numId="12">
    <w:abstractNumId w:val="12"/>
  </w:num>
  <w:num w:numId="13">
    <w:abstractNumId w:val="6"/>
  </w:num>
  <w:num w:numId="14">
    <w:abstractNumId w:val="22"/>
  </w:num>
  <w:num w:numId="15">
    <w:abstractNumId w:val="10"/>
  </w:num>
  <w:num w:numId="16">
    <w:abstractNumId w:val="31"/>
  </w:num>
  <w:num w:numId="17">
    <w:abstractNumId w:val="14"/>
  </w:num>
  <w:num w:numId="18">
    <w:abstractNumId w:val="16"/>
  </w:num>
  <w:num w:numId="19">
    <w:abstractNumId w:val="29"/>
  </w:num>
  <w:num w:numId="20">
    <w:abstractNumId w:val="23"/>
  </w:num>
  <w:num w:numId="21">
    <w:abstractNumId w:val="27"/>
  </w:num>
  <w:num w:numId="22">
    <w:abstractNumId w:val="8"/>
  </w:num>
  <w:num w:numId="23">
    <w:abstractNumId w:val="25"/>
  </w:num>
  <w:num w:numId="24">
    <w:abstractNumId w:val="24"/>
  </w:num>
  <w:num w:numId="25">
    <w:abstractNumId w:val="17"/>
  </w:num>
  <w:num w:numId="26">
    <w:abstractNumId w:val="28"/>
  </w:num>
  <w:num w:numId="27">
    <w:abstractNumId w:val="21"/>
  </w:num>
  <w:num w:numId="28">
    <w:abstractNumId w:val="19"/>
  </w:num>
  <w:num w:numId="29">
    <w:abstractNumId w:val="3"/>
  </w:num>
  <w:num w:numId="30">
    <w:abstractNumId w:val="11"/>
  </w:num>
  <w:num w:numId="31">
    <w:abstractNumId w:val="0"/>
  </w:num>
  <w:num w:numId="32">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51"/>
    <w:rsid w:val="000007F0"/>
    <w:rsid w:val="00001027"/>
    <w:rsid w:val="00002773"/>
    <w:rsid w:val="00002AB1"/>
    <w:rsid w:val="00002EE7"/>
    <w:rsid w:val="00003F59"/>
    <w:rsid w:val="0000466A"/>
    <w:rsid w:val="000046B6"/>
    <w:rsid w:val="00005156"/>
    <w:rsid w:val="0000537D"/>
    <w:rsid w:val="00005AD9"/>
    <w:rsid w:val="000070FD"/>
    <w:rsid w:val="0000712D"/>
    <w:rsid w:val="00007224"/>
    <w:rsid w:val="00011A17"/>
    <w:rsid w:val="000134C3"/>
    <w:rsid w:val="00013C16"/>
    <w:rsid w:val="00013E90"/>
    <w:rsid w:val="00014CC3"/>
    <w:rsid w:val="00014D27"/>
    <w:rsid w:val="000154B1"/>
    <w:rsid w:val="000163C1"/>
    <w:rsid w:val="00020D6F"/>
    <w:rsid w:val="00020DFA"/>
    <w:rsid w:val="0002145E"/>
    <w:rsid w:val="00021DEA"/>
    <w:rsid w:val="00022D3D"/>
    <w:rsid w:val="00023337"/>
    <w:rsid w:val="00023802"/>
    <w:rsid w:val="00025784"/>
    <w:rsid w:val="0002783B"/>
    <w:rsid w:val="00030068"/>
    <w:rsid w:val="00030871"/>
    <w:rsid w:val="00030AD8"/>
    <w:rsid w:val="00030C1E"/>
    <w:rsid w:val="000315E1"/>
    <w:rsid w:val="000322F2"/>
    <w:rsid w:val="00032657"/>
    <w:rsid w:val="000335D6"/>
    <w:rsid w:val="00034A1A"/>
    <w:rsid w:val="000359B2"/>
    <w:rsid w:val="00035CF7"/>
    <w:rsid w:val="00035DBD"/>
    <w:rsid w:val="00035F37"/>
    <w:rsid w:val="00036244"/>
    <w:rsid w:val="000406F4"/>
    <w:rsid w:val="00041566"/>
    <w:rsid w:val="00041A75"/>
    <w:rsid w:val="00041FE3"/>
    <w:rsid w:val="00043298"/>
    <w:rsid w:val="00043472"/>
    <w:rsid w:val="00043DF9"/>
    <w:rsid w:val="0004444D"/>
    <w:rsid w:val="0004527C"/>
    <w:rsid w:val="00045502"/>
    <w:rsid w:val="00047EA8"/>
    <w:rsid w:val="000501B2"/>
    <w:rsid w:val="000501E9"/>
    <w:rsid w:val="000508AF"/>
    <w:rsid w:val="00050E4A"/>
    <w:rsid w:val="00050FB0"/>
    <w:rsid w:val="00051004"/>
    <w:rsid w:val="00051D77"/>
    <w:rsid w:val="00053DDC"/>
    <w:rsid w:val="000550D0"/>
    <w:rsid w:val="000600DC"/>
    <w:rsid w:val="000605FB"/>
    <w:rsid w:val="00062FC1"/>
    <w:rsid w:val="000632CE"/>
    <w:rsid w:val="00064BC8"/>
    <w:rsid w:val="00065395"/>
    <w:rsid w:val="00065CD5"/>
    <w:rsid w:val="00065DCB"/>
    <w:rsid w:val="000667B5"/>
    <w:rsid w:val="00067B54"/>
    <w:rsid w:val="00067F12"/>
    <w:rsid w:val="00070FB9"/>
    <w:rsid w:val="000717D9"/>
    <w:rsid w:val="00071D9B"/>
    <w:rsid w:val="0007280C"/>
    <w:rsid w:val="00072AB5"/>
    <w:rsid w:val="000733B5"/>
    <w:rsid w:val="00075890"/>
    <w:rsid w:val="00076F36"/>
    <w:rsid w:val="0007771E"/>
    <w:rsid w:val="00077E1A"/>
    <w:rsid w:val="00080145"/>
    <w:rsid w:val="0008089A"/>
    <w:rsid w:val="00081716"/>
    <w:rsid w:val="0008190D"/>
    <w:rsid w:val="000838F8"/>
    <w:rsid w:val="000845FF"/>
    <w:rsid w:val="00084F47"/>
    <w:rsid w:val="00084FA2"/>
    <w:rsid w:val="000869EB"/>
    <w:rsid w:val="00087516"/>
    <w:rsid w:val="000911F6"/>
    <w:rsid w:val="000928CA"/>
    <w:rsid w:val="00093777"/>
    <w:rsid w:val="000938EC"/>
    <w:rsid w:val="00095086"/>
    <w:rsid w:val="00096D6C"/>
    <w:rsid w:val="0009799E"/>
    <w:rsid w:val="000A006B"/>
    <w:rsid w:val="000A0D65"/>
    <w:rsid w:val="000A2812"/>
    <w:rsid w:val="000A3470"/>
    <w:rsid w:val="000A494B"/>
    <w:rsid w:val="000A4D4E"/>
    <w:rsid w:val="000A506A"/>
    <w:rsid w:val="000A56F1"/>
    <w:rsid w:val="000A6863"/>
    <w:rsid w:val="000A6EE9"/>
    <w:rsid w:val="000A6EF7"/>
    <w:rsid w:val="000A7107"/>
    <w:rsid w:val="000A748E"/>
    <w:rsid w:val="000B0365"/>
    <w:rsid w:val="000B0854"/>
    <w:rsid w:val="000B1D9F"/>
    <w:rsid w:val="000B2B1D"/>
    <w:rsid w:val="000B2CA1"/>
    <w:rsid w:val="000B3802"/>
    <w:rsid w:val="000B45B6"/>
    <w:rsid w:val="000B47FA"/>
    <w:rsid w:val="000B49A4"/>
    <w:rsid w:val="000B5549"/>
    <w:rsid w:val="000B611C"/>
    <w:rsid w:val="000B61F5"/>
    <w:rsid w:val="000B6467"/>
    <w:rsid w:val="000C2490"/>
    <w:rsid w:val="000C3383"/>
    <w:rsid w:val="000C3648"/>
    <w:rsid w:val="000C3C6F"/>
    <w:rsid w:val="000C455C"/>
    <w:rsid w:val="000C4B33"/>
    <w:rsid w:val="000C4D14"/>
    <w:rsid w:val="000C5D70"/>
    <w:rsid w:val="000D09AC"/>
    <w:rsid w:val="000D1154"/>
    <w:rsid w:val="000D12AF"/>
    <w:rsid w:val="000D1E95"/>
    <w:rsid w:val="000D24F1"/>
    <w:rsid w:val="000D25C6"/>
    <w:rsid w:val="000D336F"/>
    <w:rsid w:val="000D55E2"/>
    <w:rsid w:val="000D6764"/>
    <w:rsid w:val="000D7B4B"/>
    <w:rsid w:val="000E0897"/>
    <w:rsid w:val="000E0C80"/>
    <w:rsid w:val="000E3028"/>
    <w:rsid w:val="000E3F72"/>
    <w:rsid w:val="000E4A67"/>
    <w:rsid w:val="000E6719"/>
    <w:rsid w:val="000E6B75"/>
    <w:rsid w:val="000E6DFB"/>
    <w:rsid w:val="000E71B1"/>
    <w:rsid w:val="000E7555"/>
    <w:rsid w:val="000F08A0"/>
    <w:rsid w:val="000F2A03"/>
    <w:rsid w:val="000F3553"/>
    <w:rsid w:val="000F3BF3"/>
    <w:rsid w:val="000F3D71"/>
    <w:rsid w:val="000F40D6"/>
    <w:rsid w:val="000F5110"/>
    <w:rsid w:val="000F58DA"/>
    <w:rsid w:val="000F6F5A"/>
    <w:rsid w:val="000F7D7C"/>
    <w:rsid w:val="0010076B"/>
    <w:rsid w:val="00100777"/>
    <w:rsid w:val="00100D65"/>
    <w:rsid w:val="00101225"/>
    <w:rsid w:val="00101EB5"/>
    <w:rsid w:val="001022CD"/>
    <w:rsid w:val="0010240B"/>
    <w:rsid w:val="00102610"/>
    <w:rsid w:val="00102F98"/>
    <w:rsid w:val="00103AB2"/>
    <w:rsid w:val="00110527"/>
    <w:rsid w:val="00111206"/>
    <w:rsid w:val="0011142A"/>
    <w:rsid w:val="00112C69"/>
    <w:rsid w:val="00113C86"/>
    <w:rsid w:val="00114900"/>
    <w:rsid w:val="001155C3"/>
    <w:rsid w:val="00115757"/>
    <w:rsid w:val="001158EE"/>
    <w:rsid w:val="00116AD5"/>
    <w:rsid w:val="00116B62"/>
    <w:rsid w:val="0011711D"/>
    <w:rsid w:val="00117BD7"/>
    <w:rsid w:val="001214D5"/>
    <w:rsid w:val="00121510"/>
    <w:rsid w:val="00121688"/>
    <w:rsid w:val="0012362D"/>
    <w:rsid w:val="00123A8A"/>
    <w:rsid w:val="001249C8"/>
    <w:rsid w:val="00124EC4"/>
    <w:rsid w:val="001263B7"/>
    <w:rsid w:val="0012675B"/>
    <w:rsid w:val="0012785A"/>
    <w:rsid w:val="00127879"/>
    <w:rsid w:val="00127A54"/>
    <w:rsid w:val="00127C1A"/>
    <w:rsid w:val="001309A0"/>
    <w:rsid w:val="00131149"/>
    <w:rsid w:val="00132305"/>
    <w:rsid w:val="001326E8"/>
    <w:rsid w:val="00132A85"/>
    <w:rsid w:val="00132D61"/>
    <w:rsid w:val="0013301C"/>
    <w:rsid w:val="00133472"/>
    <w:rsid w:val="00133E61"/>
    <w:rsid w:val="00133F44"/>
    <w:rsid w:val="00133F81"/>
    <w:rsid w:val="00135265"/>
    <w:rsid w:val="00135D4D"/>
    <w:rsid w:val="00135E78"/>
    <w:rsid w:val="00136B02"/>
    <w:rsid w:val="00136B77"/>
    <w:rsid w:val="0014025C"/>
    <w:rsid w:val="00141929"/>
    <w:rsid w:val="00143EF3"/>
    <w:rsid w:val="00145B79"/>
    <w:rsid w:val="001475A6"/>
    <w:rsid w:val="0014771E"/>
    <w:rsid w:val="0015069E"/>
    <w:rsid w:val="001518BC"/>
    <w:rsid w:val="00152142"/>
    <w:rsid w:val="00152591"/>
    <w:rsid w:val="00152CDF"/>
    <w:rsid w:val="00152DB1"/>
    <w:rsid w:val="00154E61"/>
    <w:rsid w:val="00154F28"/>
    <w:rsid w:val="0015508D"/>
    <w:rsid w:val="00155AA8"/>
    <w:rsid w:val="00156160"/>
    <w:rsid w:val="00156170"/>
    <w:rsid w:val="001603C1"/>
    <w:rsid w:val="00160AF1"/>
    <w:rsid w:val="0016176E"/>
    <w:rsid w:val="00162530"/>
    <w:rsid w:val="00162710"/>
    <w:rsid w:val="0016271D"/>
    <w:rsid w:val="001636B6"/>
    <w:rsid w:val="00163EAA"/>
    <w:rsid w:val="0016545E"/>
    <w:rsid w:val="00166525"/>
    <w:rsid w:val="00166F00"/>
    <w:rsid w:val="0016712C"/>
    <w:rsid w:val="001711B3"/>
    <w:rsid w:val="0017141B"/>
    <w:rsid w:val="00172E68"/>
    <w:rsid w:val="0017357B"/>
    <w:rsid w:val="00176A51"/>
    <w:rsid w:val="00177377"/>
    <w:rsid w:val="001776E0"/>
    <w:rsid w:val="00177B1F"/>
    <w:rsid w:val="00181920"/>
    <w:rsid w:val="00183CD4"/>
    <w:rsid w:val="00183F0B"/>
    <w:rsid w:val="00184436"/>
    <w:rsid w:val="00184EAC"/>
    <w:rsid w:val="0018532E"/>
    <w:rsid w:val="00185C43"/>
    <w:rsid w:val="00187986"/>
    <w:rsid w:val="00190A8F"/>
    <w:rsid w:val="00191984"/>
    <w:rsid w:val="00191D17"/>
    <w:rsid w:val="00191F93"/>
    <w:rsid w:val="001935D1"/>
    <w:rsid w:val="00193915"/>
    <w:rsid w:val="001939DB"/>
    <w:rsid w:val="00194F58"/>
    <w:rsid w:val="00194F59"/>
    <w:rsid w:val="00195C19"/>
    <w:rsid w:val="00195EE1"/>
    <w:rsid w:val="001960A4"/>
    <w:rsid w:val="001962FC"/>
    <w:rsid w:val="00196366"/>
    <w:rsid w:val="00196E11"/>
    <w:rsid w:val="00197031"/>
    <w:rsid w:val="00197AFD"/>
    <w:rsid w:val="00197B49"/>
    <w:rsid w:val="001A208C"/>
    <w:rsid w:val="001A2709"/>
    <w:rsid w:val="001A3628"/>
    <w:rsid w:val="001A4A4E"/>
    <w:rsid w:val="001A4E10"/>
    <w:rsid w:val="001A50CE"/>
    <w:rsid w:val="001A56F7"/>
    <w:rsid w:val="001A6673"/>
    <w:rsid w:val="001A706D"/>
    <w:rsid w:val="001B105C"/>
    <w:rsid w:val="001B1A72"/>
    <w:rsid w:val="001B1B64"/>
    <w:rsid w:val="001B1F44"/>
    <w:rsid w:val="001B209E"/>
    <w:rsid w:val="001B244F"/>
    <w:rsid w:val="001B2B06"/>
    <w:rsid w:val="001B2D3B"/>
    <w:rsid w:val="001B4398"/>
    <w:rsid w:val="001B4923"/>
    <w:rsid w:val="001B578F"/>
    <w:rsid w:val="001C1623"/>
    <w:rsid w:val="001C2E52"/>
    <w:rsid w:val="001C34D5"/>
    <w:rsid w:val="001C3B58"/>
    <w:rsid w:val="001C3F72"/>
    <w:rsid w:val="001C3F88"/>
    <w:rsid w:val="001C6693"/>
    <w:rsid w:val="001C7314"/>
    <w:rsid w:val="001D0260"/>
    <w:rsid w:val="001D0521"/>
    <w:rsid w:val="001D1329"/>
    <w:rsid w:val="001D2B30"/>
    <w:rsid w:val="001D2EA1"/>
    <w:rsid w:val="001D4F85"/>
    <w:rsid w:val="001D602A"/>
    <w:rsid w:val="001D70CB"/>
    <w:rsid w:val="001D7125"/>
    <w:rsid w:val="001D7240"/>
    <w:rsid w:val="001D772A"/>
    <w:rsid w:val="001D7DDB"/>
    <w:rsid w:val="001E11FA"/>
    <w:rsid w:val="001E1201"/>
    <w:rsid w:val="001E1246"/>
    <w:rsid w:val="001E2FFE"/>
    <w:rsid w:val="001E3440"/>
    <w:rsid w:val="001E49A3"/>
    <w:rsid w:val="001E4C1D"/>
    <w:rsid w:val="001E5280"/>
    <w:rsid w:val="001E6012"/>
    <w:rsid w:val="001E63B1"/>
    <w:rsid w:val="001E6F0E"/>
    <w:rsid w:val="001E7346"/>
    <w:rsid w:val="001E76AD"/>
    <w:rsid w:val="001E7EF1"/>
    <w:rsid w:val="001F0C35"/>
    <w:rsid w:val="001F1047"/>
    <w:rsid w:val="001F1704"/>
    <w:rsid w:val="001F1AD5"/>
    <w:rsid w:val="001F2577"/>
    <w:rsid w:val="001F25FB"/>
    <w:rsid w:val="001F3CF7"/>
    <w:rsid w:val="001F5113"/>
    <w:rsid w:val="001F5FF1"/>
    <w:rsid w:val="001F60D7"/>
    <w:rsid w:val="001F645A"/>
    <w:rsid w:val="001F682A"/>
    <w:rsid w:val="001F6FC6"/>
    <w:rsid w:val="001F7E1C"/>
    <w:rsid w:val="001F7E3F"/>
    <w:rsid w:val="00200B43"/>
    <w:rsid w:val="00201612"/>
    <w:rsid w:val="002022DD"/>
    <w:rsid w:val="00202600"/>
    <w:rsid w:val="00202E01"/>
    <w:rsid w:val="00203688"/>
    <w:rsid w:val="0020553F"/>
    <w:rsid w:val="002059CA"/>
    <w:rsid w:val="00205A41"/>
    <w:rsid w:val="00205C11"/>
    <w:rsid w:val="00210382"/>
    <w:rsid w:val="00210CF1"/>
    <w:rsid w:val="002124E7"/>
    <w:rsid w:val="00212D45"/>
    <w:rsid w:val="00213A6C"/>
    <w:rsid w:val="00214011"/>
    <w:rsid w:val="0021541E"/>
    <w:rsid w:val="00215F19"/>
    <w:rsid w:val="00216338"/>
    <w:rsid w:val="00216610"/>
    <w:rsid w:val="00216C13"/>
    <w:rsid w:val="0021776E"/>
    <w:rsid w:val="0022041D"/>
    <w:rsid w:val="00220436"/>
    <w:rsid w:val="00220826"/>
    <w:rsid w:val="0022091D"/>
    <w:rsid w:val="00220B89"/>
    <w:rsid w:val="0022102C"/>
    <w:rsid w:val="0022119B"/>
    <w:rsid w:val="00221403"/>
    <w:rsid w:val="00221A75"/>
    <w:rsid w:val="00222B49"/>
    <w:rsid w:val="002235BE"/>
    <w:rsid w:val="0022397E"/>
    <w:rsid w:val="002248A4"/>
    <w:rsid w:val="00224E6A"/>
    <w:rsid w:val="002263C5"/>
    <w:rsid w:val="0022681A"/>
    <w:rsid w:val="00226E1A"/>
    <w:rsid w:val="00226E82"/>
    <w:rsid w:val="00230271"/>
    <w:rsid w:val="00230283"/>
    <w:rsid w:val="00230CDA"/>
    <w:rsid w:val="00231BCB"/>
    <w:rsid w:val="00234617"/>
    <w:rsid w:val="002348EA"/>
    <w:rsid w:val="002356BE"/>
    <w:rsid w:val="00236544"/>
    <w:rsid w:val="0023749F"/>
    <w:rsid w:val="002406DD"/>
    <w:rsid w:val="00240FFB"/>
    <w:rsid w:val="002413EC"/>
    <w:rsid w:val="0024156F"/>
    <w:rsid w:val="00241780"/>
    <w:rsid w:val="00241C81"/>
    <w:rsid w:val="00243A6E"/>
    <w:rsid w:val="00244611"/>
    <w:rsid w:val="00245EF6"/>
    <w:rsid w:val="00246E80"/>
    <w:rsid w:val="00246FD4"/>
    <w:rsid w:val="00247051"/>
    <w:rsid w:val="00250C7B"/>
    <w:rsid w:val="002526F2"/>
    <w:rsid w:val="00252DD0"/>
    <w:rsid w:val="00252F9F"/>
    <w:rsid w:val="0025345A"/>
    <w:rsid w:val="00253498"/>
    <w:rsid w:val="002536CE"/>
    <w:rsid w:val="0025687E"/>
    <w:rsid w:val="00257160"/>
    <w:rsid w:val="002577FD"/>
    <w:rsid w:val="00257CC6"/>
    <w:rsid w:val="00261054"/>
    <w:rsid w:val="00263DE8"/>
    <w:rsid w:val="00265117"/>
    <w:rsid w:val="00265174"/>
    <w:rsid w:val="00265932"/>
    <w:rsid w:val="00267343"/>
    <w:rsid w:val="00267791"/>
    <w:rsid w:val="0026779F"/>
    <w:rsid w:val="00267985"/>
    <w:rsid w:val="0027017E"/>
    <w:rsid w:val="00270253"/>
    <w:rsid w:val="002708CA"/>
    <w:rsid w:val="00270A2A"/>
    <w:rsid w:val="0027219B"/>
    <w:rsid w:val="00272EBB"/>
    <w:rsid w:val="0027380D"/>
    <w:rsid w:val="00274C84"/>
    <w:rsid w:val="002755D9"/>
    <w:rsid w:val="00276114"/>
    <w:rsid w:val="002768C0"/>
    <w:rsid w:val="002773DC"/>
    <w:rsid w:val="002776C9"/>
    <w:rsid w:val="002778AB"/>
    <w:rsid w:val="00277C33"/>
    <w:rsid w:val="00277D63"/>
    <w:rsid w:val="00281C60"/>
    <w:rsid w:val="0028430B"/>
    <w:rsid w:val="0028516A"/>
    <w:rsid w:val="002852B7"/>
    <w:rsid w:val="002855BF"/>
    <w:rsid w:val="002855E8"/>
    <w:rsid w:val="00285821"/>
    <w:rsid w:val="002868C4"/>
    <w:rsid w:val="00290277"/>
    <w:rsid w:val="00291E28"/>
    <w:rsid w:val="00291FB5"/>
    <w:rsid w:val="00293570"/>
    <w:rsid w:val="00293BC1"/>
    <w:rsid w:val="002948D7"/>
    <w:rsid w:val="00295458"/>
    <w:rsid w:val="00295868"/>
    <w:rsid w:val="0029587C"/>
    <w:rsid w:val="00296386"/>
    <w:rsid w:val="00297CEA"/>
    <w:rsid w:val="002A03D3"/>
    <w:rsid w:val="002A1CE7"/>
    <w:rsid w:val="002A1F45"/>
    <w:rsid w:val="002A2146"/>
    <w:rsid w:val="002A29F5"/>
    <w:rsid w:val="002A2C72"/>
    <w:rsid w:val="002A48B4"/>
    <w:rsid w:val="002A49A4"/>
    <w:rsid w:val="002A4BE6"/>
    <w:rsid w:val="002A53F3"/>
    <w:rsid w:val="002A5521"/>
    <w:rsid w:val="002A575D"/>
    <w:rsid w:val="002A6026"/>
    <w:rsid w:val="002A7DE7"/>
    <w:rsid w:val="002B01A4"/>
    <w:rsid w:val="002B027C"/>
    <w:rsid w:val="002B0463"/>
    <w:rsid w:val="002B12E4"/>
    <w:rsid w:val="002B1C39"/>
    <w:rsid w:val="002B1DCC"/>
    <w:rsid w:val="002B21C6"/>
    <w:rsid w:val="002B3B02"/>
    <w:rsid w:val="002B4088"/>
    <w:rsid w:val="002B4D6A"/>
    <w:rsid w:val="002B5721"/>
    <w:rsid w:val="002B5B7E"/>
    <w:rsid w:val="002B6D17"/>
    <w:rsid w:val="002B7104"/>
    <w:rsid w:val="002B72DE"/>
    <w:rsid w:val="002B739C"/>
    <w:rsid w:val="002B746B"/>
    <w:rsid w:val="002B7FA3"/>
    <w:rsid w:val="002C0334"/>
    <w:rsid w:val="002C1B7D"/>
    <w:rsid w:val="002C1ECB"/>
    <w:rsid w:val="002C2E66"/>
    <w:rsid w:val="002C445E"/>
    <w:rsid w:val="002C50A7"/>
    <w:rsid w:val="002C660D"/>
    <w:rsid w:val="002C6FF6"/>
    <w:rsid w:val="002D007B"/>
    <w:rsid w:val="002D0DF4"/>
    <w:rsid w:val="002D415B"/>
    <w:rsid w:val="002D4F73"/>
    <w:rsid w:val="002D4FC7"/>
    <w:rsid w:val="002D59A4"/>
    <w:rsid w:val="002D5D47"/>
    <w:rsid w:val="002D78DD"/>
    <w:rsid w:val="002E180C"/>
    <w:rsid w:val="002E1A63"/>
    <w:rsid w:val="002E558A"/>
    <w:rsid w:val="002E55FB"/>
    <w:rsid w:val="002E5B60"/>
    <w:rsid w:val="002E6867"/>
    <w:rsid w:val="002F08AE"/>
    <w:rsid w:val="002F18AE"/>
    <w:rsid w:val="002F18BC"/>
    <w:rsid w:val="002F3129"/>
    <w:rsid w:val="002F4717"/>
    <w:rsid w:val="002F4848"/>
    <w:rsid w:val="002F4DE6"/>
    <w:rsid w:val="002F617A"/>
    <w:rsid w:val="00300781"/>
    <w:rsid w:val="0030086C"/>
    <w:rsid w:val="0030209D"/>
    <w:rsid w:val="00302E2B"/>
    <w:rsid w:val="003051F6"/>
    <w:rsid w:val="00305E0D"/>
    <w:rsid w:val="0030608F"/>
    <w:rsid w:val="003061C7"/>
    <w:rsid w:val="00306B35"/>
    <w:rsid w:val="003071C7"/>
    <w:rsid w:val="00310AF8"/>
    <w:rsid w:val="00310C0A"/>
    <w:rsid w:val="00311F93"/>
    <w:rsid w:val="003120DA"/>
    <w:rsid w:val="003128B8"/>
    <w:rsid w:val="00313294"/>
    <w:rsid w:val="003160EA"/>
    <w:rsid w:val="003167F9"/>
    <w:rsid w:val="003169D7"/>
    <w:rsid w:val="00320314"/>
    <w:rsid w:val="00320EB9"/>
    <w:rsid w:val="003213A9"/>
    <w:rsid w:val="00321A76"/>
    <w:rsid w:val="003246ED"/>
    <w:rsid w:val="003256CC"/>
    <w:rsid w:val="0032619D"/>
    <w:rsid w:val="003266B0"/>
    <w:rsid w:val="00326BD1"/>
    <w:rsid w:val="003300F0"/>
    <w:rsid w:val="00331106"/>
    <w:rsid w:val="003329CF"/>
    <w:rsid w:val="00333843"/>
    <w:rsid w:val="00334403"/>
    <w:rsid w:val="003346B6"/>
    <w:rsid w:val="003348A4"/>
    <w:rsid w:val="003349CF"/>
    <w:rsid w:val="00334B77"/>
    <w:rsid w:val="00334DFD"/>
    <w:rsid w:val="00335D1A"/>
    <w:rsid w:val="003362BE"/>
    <w:rsid w:val="00336BED"/>
    <w:rsid w:val="00337177"/>
    <w:rsid w:val="00337CC0"/>
    <w:rsid w:val="00340A4D"/>
    <w:rsid w:val="00340FE7"/>
    <w:rsid w:val="00341111"/>
    <w:rsid w:val="003414DE"/>
    <w:rsid w:val="00341640"/>
    <w:rsid w:val="00342C42"/>
    <w:rsid w:val="00342E1B"/>
    <w:rsid w:val="00343346"/>
    <w:rsid w:val="003434C9"/>
    <w:rsid w:val="00343D6C"/>
    <w:rsid w:val="00345134"/>
    <w:rsid w:val="003456B7"/>
    <w:rsid w:val="00345844"/>
    <w:rsid w:val="00347C0D"/>
    <w:rsid w:val="00347E90"/>
    <w:rsid w:val="00350A42"/>
    <w:rsid w:val="00350C7A"/>
    <w:rsid w:val="00350E6B"/>
    <w:rsid w:val="003514FD"/>
    <w:rsid w:val="00351A6F"/>
    <w:rsid w:val="00351C36"/>
    <w:rsid w:val="00354111"/>
    <w:rsid w:val="00354CD9"/>
    <w:rsid w:val="00354EE5"/>
    <w:rsid w:val="003569BD"/>
    <w:rsid w:val="003604AC"/>
    <w:rsid w:val="0036125A"/>
    <w:rsid w:val="003613ED"/>
    <w:rsid w:val="0036197E"/>
    <w:rsid w:val="00362C58"/>
    <w:rsid w:val="00363438"/>
    <w:rsid w:val="0036365B"/>
    <w:rsid w:val="0036449E"/>
    <w:rsid w:val="00364B22"/>
    <w:rsid w:val="00365416"/>
    <w:rsid w:val="00365B76"/>
    <w:rsid w:val="00365C04"/>
    <w:rsid w:val="0036680A"/>
    <w:rsid w:val="00366CD4"/>
    <w:rsid w:val="00367924"/>
    <w:rsid w:val="00367F6D"/>
    <w:rsid w:val="003710B1"/>
    <w:rsid w:val="003717C2"/>
    <w:rsid w:val="00371E75"/>
    <w:rsid w:val="00372A6F"/>
    <w:rsid w:val="00373945"/>
    <w:rsid w:val="003745CA"/>
    <w:rsid w:val="003750F4"/>
    <w:rsid w:val="003751CC"/>
    <w:rsid w:val="00376764"/>
    <w:rsid w:val="00377A36"/>
    <w:rsid w:val="0038047A"/>
    <w:rsid w:val="00380603"/>
    <w:rsid w:val="00381310"/>
    <w:rsid w:val="003826A2"/>
    <w:rsid w:val="00382AFC"/>
    <w:rsid w:val="00382D14"/>
    <w:rsid w:val="00384437"/>
    <w:rsid w:val="003846E6"/>
    <w:rsid w:val="0038556A"/>
    <w:rsid w:val="003858A5"/>
    <w:rsid w:val="003858B5"/>
    <w:rsid w:val="003873D2"/>
    <w:rsid w:val="00390505"/>
    <w:rsid w:val="00390F25"/>
    <w:rsid w:val="00391C42"/>
    <w:rsid w:val="0039206F"/>
    <w:rsid w:val="003930AE"/>
    <w:rsid w:val="003935B2"/>
    <w:rsid w:val="00394FFF"/>
    <w:rsid w:val="00395DB7"/>
    <w:rsid w:val="00397445"/>
    <w:rsid w:val="003A0104"/>
    <w:rsid w:val="003A06AE"/>
    <w:rsid w:val="003A18C1"/>
    <w:rsid w:val="003A4581"/>
    <w:rsid w:val="003A47DC"/>
    <w:rsid w:val="003A4F1D"/>
    <w:rsid w:val="003A5278"/>
    <w:rsid w:val="003A52AE"/>
    <w:rsid w:val="003A5616"/>
    <w:rsid w:val="003A5F6F"/>
    <w:rsid w:val="003A6812"/>
    <w:rsid w:val="003A6E66"/>
    <w:rsid w:val="003A7079"/>
    <w:rsid w:val="003B0109"/>
    <w:rsid w:val="003B1967"/>
    <w:rsid w:val="003B3EDD"/>
    <w:rsid w:val="003B4514"/>
    <w:rsid w:val="003B4F61"/>
    <w:rsid w:val="003B5A9B"/>
    <w:rsid w:val="003B6ED0"/>
    <w:rsid w:val="003B7DBD"/>
    <w:rsid w:val="003C0775"/>
    <w:rsid w:val="003C0FA1"/>
    <w:rsid w:val="003C1FE2"/>
    <w:rsid w:val="003C2227"/>
    <w:rsid w:val="003C3E08"/>
    <w:rsid w:val="003C443B"/>
    <w:rsid w:val="003C5448"/>
    <w:rsid w:val="003C58BB"/>
    <w:rsid w:val="003C6C63"/>
    <w:rsid w:val="003D10AB"/>
    <w:rsid w:val="003D1609"/>
    <w:rsid w:val="003D1FD0"/>
    <w:rsid w:val="003D386F"/>
    <w:rsid w:val="003D4C56"/>
    <w:rsid w:val="003D5214"/>
    <w:rsid w:val="003D52EF"/>
    <w:rsid w:val="003D5817"/>
    <w:rsid w:val="003D6856"/>
    <w:rsid w:val="003E03B1"/>
    <w:rsid w:val="003E081A"/>
    <w:rsid w:val="003E0ACD"/>
    <w:rsid w:val="003E1821"/>
    <w:rsid w:val="003E2AA3"/>
    <w:rsid w:val="003E2CBB"/>
    <w:rsid w:val="003E2F46"/>
    <w:rsid w:val="003E501C"/>
    <w:rsid w:val="003E5809"/>
    <w:rsid w:val="003E6819"/>
    <w:rsid w:val="003E767E"/>
    <w:rsid w:val="003F11BE"/>
    <w:rsid w:val="003F3889"/>
    <w:rsid w:val="003F3A34"/>
    <w:rsid w:val="003F4BEE"/>
    <w:rsid w:val="003F4C15"/>
    <w:rsid w:val="003F4CF2"/>
    <w:rsid w:val="003F6383"/>
    <w:rsid w:val="003F7D0D"/>
    <w:rsid w:val="00400280"/>
    <w:rsid w:val="0040061A"/>
    <w:rsid w:val="004013B0"/>
    <w:rsid w:val="0040418A"/>
    <w:rsid w:val="0040432B"/>
    <w:rsid w:val="0040474F"/>
    <w:rsid w:val="00404A53"/>
    <w:rsid w:val="00404FAC"/>
    <w:rsid w:val="00405784"/>
    <w:rsid w:val="004059F8"/>
    <w:rsid w:val="00405A78"/>
    <w:rsid w:val="00406450"/>
    <w:rsid w:val="004074D5"/>
    <w:rsid w:val="00407F52"/>
    <w:rsid w:val="004108DB"/>
    <w:rsid w:val="00411B54"/>
    <w:rsid w:val="004139B7"/>
    <w:rsid w:val="00414E40"/>
    <w:rsid w:val="00415005"/>
    <w:rsid w:val="00415EF5"/>
    <w:rsid w:val="00417593"/>
    <w:rsid w:val="00420631"/>
    <w:rsid w:val="00421652"/>
    <w:rsid w:val="00421C4B"/>
    <w:rsid w:val="00422A0C"/>
    <w:rsid w:val="00423535"/>
    <w:rsid w:val="004243B7"/>
    <w:rsid w:val="004248AD"/>
    <w:rsid w:val="00427002"/>
    <w:rsid w:val="0042705E"/>
    <w:rsid w:val="0042773A"/>
    <w:rsid w:val="00427C99"/>
    <w:rsid w:val="00430284"/>
    <w:rsid w:val="004317BC"/>
    <w:rsid w:val="00432F3A"/>
    <w:rsid w:val="00433863"/>
    <w:rsid w:val="00433A83"/>
    <w:rsid w:val="00434C1C"/>
    <w:rsid w:val="00436194"/>
    <w:rsid w:val="00436F66"/>
    <w:rsid w:val="00437046"/>
    <w:rsid w:val="00440020"/>
    <w:rsid w:val="00440443"/>
    <w:rsid w:val="00440AA0"/>
    <w:rsid w:val="00440C93"/>
    <w:rsid w:val="00440DEF"/>
    <w:rsid w:val="00440EC6"/>
    <w:rsid w:val="00441895"/>
    <w:rsid w:val="004420B0"/>
    <w:rsid w:val="0044223F"/>
    <w:rsid w:val="0044233B"/>
    <w:rsid w:val="00442AC3"/>
    <w:rsid w:val="00444591"/>
    <w:rsid w:val="00446A63"/>
    <w:rsid w:val="00446EE9"/>
    <w:rsid w:val="00447400"/>
    <w:rsid w:val="00447519"/>
    <w:rsid w:val="004500A6"/>
    <w:rsid w:val="004509E4"/>
    <w:rsid w:val="00451044"/>
    <w:rsid w:val="0045119E"/>
    <w:rsid w:val="00452B66"/>
    <w:rsid w:val="0045308D"/>
    <w:rsid w:val="00453755"/>
    <w:rsid w:val="00453B0D"/>
    <w:rsid w:val="00453F0D"/>
    <w:rsid w:val="00454EFE"/>
    <w:rsid w:val="0045509E"/>
    <w:rsid w:val="004553D2"/>
    <w:rsid w:val="00455BDD"/>
    <w:rsid w:val="00455D93"/>
    <w:rsid w:val="004561CB"/>
    <w:rsid w:val="004567E2"/>
    <w:rsid w:val="00456877"/>
    <w:rsid w:val="0045785C"/>
    <w:rsid w:val="0046056F"/>
    <w:rsid w:val="00460610"/>
    <w:rsid w:val="00460A3A"/>
    <w:rsid w:val="00460BDF"/>
    <w:rsid w:val="00461EF3"/>
    <w:rsid w:val="0046343E"/>
    <w:rsid w:val="00463D97"/>
    <w:rsid w:val="004662F5"/>
    <w:rsid w:val="0046677A"/>
    <w:rsid w:val="00467C5F"/>
    <w:rsid w:val="004701A4"/>
    <w:rsid w:val="0047046D"/>
    <w:rsid w:val="00470997"/>
    <w:rsid w:val="00473AF8"/>
    <w:rsid w:val="00473F60"/>
    <w:rsid w:val="00474097"/>
    <w:rsid w:val="004761C7"/>
    <w:rsid w:val="00476318"/>
    <w:rsid w:val="00477395"/>
    <w:rsid w:val="00477454"/>
    <w:rsid w:val="004806D6"/>
    <w:rsid w:val="00480E3F"/>
    <w:rsid w:val="00481E09"/>
    <w:rsid w:val="0048346B"/>
    <w:rsid w:val="00483B29"/>
    <w:rsid w:val="00484D26"/>
    <w:rsid w:val="00484D59"/>
    <w:rsid w:val="0048551F"/>
    <w:rsid w:val="00485FF0"/>
    <w:rsid w:val="00486C79"/>
    <w:rsid w:val="00487479"/>
    <w:rsid w:val="00487581"/>
    <w:rsid w:val="0048776B"/>
    <w:rsid w:val="00487DB5"/>
    <w:rsid w:val="00490495"/>
    <w:rsid w:val="00490C4C"/>
    <w:rsid w:val="00492650"/>
    <w:rsid w:val="0049295A"/>
    <w:rsid w:val="004938F6"/>
    <w:rsid w:val="00493FB6"/>
    <w:rsid w:val="00494397"/>
    <w:rsid w:val="00494F33"/>
    <w:rsid w:val="004953F3"/>
    <w:rsid w:val="00495700"/>
    <w:rsid w:val="0049647F"/>
    <w:rsid w:val="004968A7"/>
    <w:rsid w:val="00497A36"/>
    <w:rsid w:val="004A19E0"/>
    <w:rsid w:val="004A26C9"/>
    <w:rsid w:val="004A29FA"/>
    <w:rsid w:val="004A4F5E"/>
    <w:rsid w:val="004A4FEE"/>
    <w:rsid w:val="004A7024"/>
    <w:rsid w:val="004A7DD0"/>
    <w:rsid w:val="004B0759"/>
    <w:rsid w:val="004B285B"/>
    <w:rsid w:val="004B3873"/>
    <w:rsid w:val="004B4FC5"/>
    <w:rsid w:val="004B6CC4"/>
    <w:rsid w:val="004B74E8"/>
    <w:rsid w:val="004B7F0C"/>
    <w:rsid w:val="004C10A7"/>
    <w:rsid w:val="004C1511"/>
    <w:rsid w:val="004C1D24"/>
    <w:rsid w:val="004C1F98"/>
    <w:rsid w:val="004C2095"/>
    <w:rsid w:val="004C25C8"/>
    <w:rsid w:val="004C31D9"/>
    <w:rsid w:val="004C38CC"/>
    <w:rsid w:val="004C5ECE"/>
    <w:rsid w:val="004C623B"/>
    <w:rsid w:val="004C6AF3"/>
    <w:rsid w:val="004C764E"/>
    <w:rsid w:val="004C77CD"/>
    <w:rsid w:val="004D3248"/>
    <w:rsid w:val="004D477B"/>
    <w:rsid w:val="004D5F14"/>
    <w:rsid w:val="004D60C6"/>
    <w:rsid w:val="004D60E4"/>
    <w:rsid w:val="004D68B5"/>
    <w:rsid w:val="004D6DEF"/>
    <w:rsid w:val="004E0011"/>
    <w:rsid w:val="004E0118"/>
    <w:rsid w:val="004E0190"/>
    <w:rsid w:val="004E1397"/>
    <w:rsid w:val="004E13AF"/>
    <w:rsid w:val="004E15D0"/>
    <w:rsid w:val="004E2DE1"/>
    <w:rsid w:val="004E53B5"/>
    <w:rsid w:val="004E5B27"/>
    <w:rsid w:val="004E5DBB"/>
    <w:rsid w:val="004E6249"/>
    <w:rsid w:val="004E6B31"/>
    <w:rsid w:val="004E7427"/>
    <w:rsid w:val="004E7BA2"/>
    <w:rsid w:val="004E7CA9"/>
    <w:rsid w:val="004F04A8"/>
    <w:rsid w:val="004F064D"/>
    <w:rsid w:val="004F16BA"/>
    <w:rsid w:val="004F1CDA"/>
    <w:rsid w:val="004F1D2A"/>
    <w:rsid w:val="004F1E1B"/>
    <w:rsid w:val="004F2185"/>
    <w:rsid w:val="004F3700"/>
    <w:rsid w:val="004F38C3"/>
    <w:rsid w:val="004F4827"/>
    <w:rsid w:val="004F4C45"/>
    <w:rsid w:val="004F4C84"/>
    <w:rsid w:val="004F5DCF"/>
    <w:rsid w:val="004F625D"/>
    <w:rsid w:val="004F62CC"/>
    <w:rsid w:val="004F6563"/>
    <w:rsid w:val="004F6702"/>
    <w:rsid w:val="004F6C08"/>
    <w:rsid w:val="005002EF"/>
    <w:rsid w:val="00500976"/>
    <w:rsid w:val="0050152E"/>
    <w:rsid w:val="00501A7D"/>
    <w:rsid w:val="00501E77"/>
    <w:rsid w:val="00502575"/>
    <w:rsid w:val="00502E43"/>
    <w:rsid w:val="0050319B"/>
    <w:rsid w:val="005032D5"/>
    <w:rsid w:val="00505A4F"/>
    <w:rsid w:val="00505F5F"/>
    <w:rsid w:val="0050718D"/>
    <w:rsid w:val="00510563"/>
    <w:rsid w:val="00510864"/>
    <w:rsid w:val="00510AED"/>
    <w:rsid w:val="00511CE9"/>
    <w:rsid w:val="00514519"/>
    <w:rsid w:val="00514D69"/>
    <w:rsid w:val="00515FA4"/>
    <w:rsid w:val="005202A4"/>
    <w:rsid w:val="005210EC"/>
    <w:rsid w:val="005216D1"/>
    <w:rsid w:val="0052187C"/>
    <w:rsid w:val="00521A07"/>
    <w:rsid w:val="00521DC2"/>
    <w:rsid w:val="00522D5B"/>
    <w:rsid w:val="00523B9D"/>
    <w:rsid w:val="0052563A"/>
    <w:rsid w:val="00525CF1"/>
    <w:rsid w:val="00526762"/>
    <w:rsid w:val="00526EB9"/>
    <w:rsid w:val="00530482"/>
    <w:rsid w:val="00531186"/>
    <w:rsid w:val="00532636"/>
    <w:rsid w:val="0053423C"/>
    <w:rsid w:val="0053511F"/>
    <w:rsid w:val="00535723"/>
    <w:rsid w:val="0053588F"/>
    <w:rsid w:val="005358CD"/>
    <w:rsid w:val="00536714"/>
    <w:rsid w:val="005368FB"/>
    <w:rsid w:val="00540030"/>
    <w:rsid w:val="005406FB"/>
    <w:rsid w:val="00540859"/>
    <w:rsid w:val="005409DE"/>
    <w:rsid w:val="00540BAD"/>
    <w:rsid w:val="00541F7A"/>
    <w:rsid w:val="0054312E"/>
    <w:rsid w:val="00543E32"/>
    <w:rsid w:val="00543F50"/>
    <w:rsid w:val="00544B1C"/>
    <w:rsid w:val="00545542"/>
    <w:rsid w:val="0054562E"/>
    <w:rsid w:val="00547659"/>
    <w:rsid w:val="00550121"/>
    <w:rsid w:val="00550346"/>
    <w:rsid w:val="00551509"/>
    <w:rsid w:val="00551DAF"/>
    <w:rsid w:val="00553195"/>
    <w:rsid w:val="00554A7A"/>
    <w:rsid w:val="005551F5"/>
    <w:rsid w:val="005556C6"/>
    <w:rsid w:val="00555984"/>
    <w:rsid w:val="0055736C"/>
    <w:rsid w:val="00561D7A"/>
    <w:rsid w:val="00562026"/>
    <w:rsid w:val="00562258"/>
    <w:rsid w:val="005636AB"/>
    <w:rsid w:val="00563B74"/>
    <w:rsid w:val="00563C3E"/>
    <w:rsid w:val="00564438"/>
    <w:rsid w:val="00564ECA"/>
    <w:rsid w:val="0056696E"/>
    <w:rsid w:val="00572642"/>
    <w:rsid w:val="005747EC"/>
    <w:rsid w:val="00574D84"/>
    <w:rsid w:val="00575323"/>
    <w:rsid w:val="00576A29"/>
    <w:rsid w:val="00576A7B"/>
    <w:rsid w:val="00576CB9"/>
    <w:rsid w:val="005808F5"/>
    <w:rsid w:val="00581D48"/>
    <w:rsid w:val="0058208C"/>
    <w:rsid w:val="0058211A"/>
    <w:rsid w:val="005821D7"/>
    <w:rsid w:val="00582C96"/>
    <w:rsid w:val="005842FD"/>
    <w:rsid w:val="00584600"/>
    <w:rsid w:val="0058466A"/>
    <w:rsid w:val="00585CC0"/>
    <w:rsid w:val="005871D8"/>
    <w:rsid w:val="005900EC"/>
    <w:rsid w:val="00590293"/>
    <w:rsid w:val="00590ECB"/>
    <w:rsid w:val="005944A4"/>
    <w:rsid w:val="0059494E"/>
    <w:rsid w:val="00596602"/>
    <w:rsid w:val="00596BE2"/>
    <w:rsid w:val="00596C10"/>
    <w:rsid w:val="005A0802"/>
    <w:rsid w:val="005A170E"/>
    <w:rsid w:val="005A34B7"/>
    <w:rsid w:val="005A39BD"/>
    <w:rsid w:val="005A4B5B"/>
    <w:rsid w:val="005A7469"/>
    <w:rsid w:val="005A7879"/>
    <w:rsid w:val="005B09C0"/>
    <w:rsid w:val="005B10B8"/>
    <w:rsid w:val="005B1AE9"/>
    <w:rsid w:val="005B1B6B"/>
    <w:rsid w:val="005B25DB"/>
    <w:rsid w:val="005B3BA9"/>
    <w:rsid w:val="005B49B2"/>
    <w:rsid w:val="005B6C61"/>
    <w:rsid w:val="005B6CB2"/>
    <w:rsid w:val="005B6D2D"/>
    <w:rsid w:val="005C0519"/>
    <w:rsid w:val="005C0A54"/>
    <w:rsid w:val="005C0C3A"/>
    <w:rsid w:val="005C16E0"/>
    <w:rsid w:val="005C191B"/>
    <w:rsid w:val="005C2113"/>
    <w:rsid w:val="005C26DA"/>
    <w:rsid w:val="005C2D98"/>
    <w:rsid w:val="005C336F"/>
    <w:rsid w:val="005C3852"/>
    <w:rsid w:val="005C4BD3"/>
    <w:rsid w:val="005C54CA"/>
    <w:rsid w:val="005C5CDE"/>
    <w:rsid w:val="005C7A49"/>
    <w:rsid w:val="005D06B3"/>
    <w:rsid w:val="005D0F89"/>
    <w:rsid w:val="005D1565"/>
    <w:rsid w:val="005D1851"/>
    <w:rsid w:val="005D1BB8"/>
    <w:rsid w:val="005D2A94"/>
    <w:rsid w:val="005D398B"/>
    <w:rsid w:val="005D4B6A"/>
    <w:rsid w:val="005D4B8F"/>
    <w:rsid w:val="005D4DF9"/>
    <w:rsid w:val="005D5193"/>
    <w:rsid w:val="005D5232"/>
    <w:rsid w:val="005E0686"/>
    <w:rsid w:val="005E0FB9"/>
    <w:rsid w:val="005E1FAF"/>
    <w:rsid w:val="005E20EE"/>
    <w:rsid w:val="005E2C5B"/>
    <w:rsid w:val="005E2FCA"/>
    <w:rsid w:val="005E308C"/>
    <w:rsid w:val="005E3372"/>
    <w:rsid w:val="005E373C"/>
    <w:rsid w:val="005E53B8"/>
    <w:rsid w:val="005E5DEC"/>
    <w:rsid w:val="005E699D"/>
    <w:rsid w:val="005E6E03"/>
    <w:rsid w:val="005E70C9"/>
    <w:rsid w:val="005E76A0"/>
    <w:rsid w:val="005E7815"/>
    <w:rsid w:val="005F0163"/>
    <w:rsid w:val="005F073B"/>
    <w:rsid w:val="005F172E"/>
    <w:rsid w:val="005F1C24"/>
    <w:rsid w:val="005F1F5D"/>
    <w:rsid w:val="005F2788"/>
    <w:rsid w:val="005F2D3B"/>
    <w:rsid w:val="005F2FA0"/>
    <w:rsid w:val="005F614C"/>
    <w:rsid w:val="005F623A"/>
    <w:rsid w:val="005F7F20"/>
    <w:rsid w:val="006017E7"/>
    <w:rsid w:val="006028A8"/>
    <w:rsid w:val="00603CF6"/>
    <w:rsid w:val="0060534E"/>
    <w:rsid w:val="00605536"/>
    <w:rsid w:val="006057E7"/>
    <w:rsid w:val="00606554"/>
    <w:rsid w:val="006070F1"/>
    <w:rsid w:val="00607A1D"/>
    <w:rsid w:val="00607A38"/>
    <w:rsid w:val="00607D0F"/>
    <w:rsid w:val="00607F5B"/>
    <w:rsid w:val="00610420"/>
    <w:rsid w:val="006117C0"/>
    <w:rsid w:val="0061419C"/>
    <w:rsid w:val="00614C1E"/>
    <w:rsid w:val="00617072"/>
    <w:rsid w:val="00617576"/>
    <w:rsid w:val="0061766A"/>
    <w:rsid w:val="00617BE4"/>
    <w:rsid w:val="006205E3"/>
    <w:rsid w:val="00620EB1"/>
    <w:rsid w:val="006239A7"/>
    <w:rsid w:val="00623F38"/>
    <w:rsid w:val="006242EA"/>
    <w:rsid w:val="00624945"/>
    <w:rsid w:val="00625D7F"/>
    <w:rsid w:val="0062715A"/>
    <w:rsid w:val="00627471"/>
    <w:rsid w:val="006301BC"/>
    <w:rsid w:val="00631D29"/>
    <w:rsid w:val="006320C7"/>
    <w:rsid w:val="0063528F"/>
    <w:rsid w:val="00635322"/>
    <w:rsid w:val="00635D97"/>
    <w:rsid w:val="00637398"/>
    <w:rsid w:val="006375AB"/>
    <w:rsid w:val="00637ABC"/>
    <w:rsid w:val="00641A9A"/>
    <w:rsid w:val="00641E8F"/>
    <w:rsid w:val="00641ECC"/>
    <w:rsid w:val="00642741"/>
    <w:rsid w:val="00642D39"/>
    <w:rsid w:val="00643A35"/>
    <w:rsid w:val="006442EA"/>
    <w:rsid w:val="0064441F"/>
    <w:rsid w:val="00645168"/>
    <w:rsid w:val="0064599C"/>
    <w:rsid w:val="006470DA"/>
    <w:rsid w:val="006478DA"/>
    <w:rsid w:val="00650437"/>
    <w:rsid w:val="00650C9C"/>
    <w:rsid w:val="00651796"/>
    <w:rsid w:val="00651C50"/>
    <w:rsid w:val="006526FE"/>
    <w:rsid w:val="00652A1A"/>
    <w:rsid w:val="00652A67"/>
    <w:rsid w:val="00652EE0"/>
    <w:rsid w:val="00653B59"/>
    <w:rsid w:val="00654D09"/>
    <w:rsid w:val="006552C0"/>
    <w:rsid w:val="00655A41"/>
    <w:rsid w:val="00657567"/>
    <w:rsid w:val="0066021C"/>
    <w:rsid w:val="006603FA"/>
    <w:rsid w:val="00660BDA"/>
    <w:rsid w:val="006613F0"/>
    <w:rsid w:val="006614F2"/>
    <w:rsid w:val="00662791"/>
    <w:rsid w:val="00662E6D"/>
    <w:rsid w:val="00663B29"/>
    <w:rsid w:val="00665950"/>
    <w:rsid w:val="00665992"/>
    <w:rsid w:val="006659AB"/>
    <w:rsid w:val="00665C78"/>
    <w:rsid w:val="00666EFD"/>
    <w:rsid w:val="006672B4"/>
    <w:rsid w:val="00671398"/>
    <w:rsid w:val="00672AD5"/>
    <w:rsid w:val="00673185"/>
    <w:rsid w:val="00673D7E"/>
    <w:rsid w:val="00673DC3"/>
    <w:rsid w:val="00676265"/>
    <w:rsid w:val="00676315"/>
    <w:rsid w:val="00676448"/>
    <w:rsid w:val="00676FF6"/>
    <w:rsid w:val="0067729B"/>
    <w:rsid w:val="00677EBA"/>
    <w:rsid w:val="0068062D"/>
    <w:rsid w:val="00680686"/>
    <w:rsid w:val="006819B0"/>
    <w:rsid w:val="006827EA"/>
    <w:rsid w:val="0068391C"/>
    <w:rsid w:val="00684C28"/>
    <w:rsid w:val="00685555"/>
    <w:rsid w:val="00685A22"/>
    <w:rsid w:val="00686601"/>
    <w:rsid w:val="00686C30"/>
    <w:rsid w:val="00687493"/>
    <w:rsid w:val="00687C30"/>
    <w:rsid w:val="006911CA"/>
    <w:rsid w:val="00692625"/>
    <w:rsid w:val="00692782"/>
    <w:rsid w:val="00694C51"/>
    <w:rsid w:val="00694CA3"/>
    <w:rsid w:val="006954B3"/>
    <w:rsid w:val="00695734"/>
    <w:rsid w:val="00695D79"/>
    <w:rsid w:val="00696C47"/>
    <w:rsid w:val="006A0A42"/>
    <w:rsid w:val="006A13AA"/>
    <w:rsid w:val="006A1661"/>
    <w:rsid w:val="006A1745"/>
    <w:rsid w:val="006A1CCA"/>
    <w:rsid w:val="006A1DB0"/>
    <w:rsid w:val="006A2683"/>
    <w:rsid w:val="006A370B"/>
    <w:rsid w:val="006A3A85"/>
    <w:rsid w:val="006A42A7"/>
    <w:rsid w:val="006A42CF"/>
    <w:rsid w:val="006A5335"/>
    <w:rsid w:val="006A6A85"/>
    <w:rsid w:val="006A734D"/>
    <w:rsid w:val="006B10AE"/>
    <w:rsid w:val="006B1AB7"/>
    <w:rsid w:val="006B44B1"/>
    <w:rsid w:val="006B4BEE"/>
    <w:rsid w:val="006B52DC"/>
    <w:rsid w:val="006B5DA1"/>
    <w:rsid w:val="006B5E4C"/>
    <w:rsid w:val="006B6A55"/>
    <w:rsid w:val="006B730A"/>
    <w:rsid w:val="006B75AB"/>
    <w:rsid w:val="006C06FD"/>
    <w:rsid w:val="006C0AA2"/>
    <w:rsid w:val="006C13BF"/>
    <w:rsid w:val="006C16B3"/>
    <w:rsid w:val="006C1AD4"/>
    <w:rsid w:val="006C2543"/>
    <w:rsid w:val="006C2B69"/>
    <w:rsid w:val="006C384F"/>
    <w:rsid w:val="006C4268"/>
    <w:rsid w:val="006C45B5"/>
    <w:rsid w:val="006C4F15"/>
    <w:rsid w:val="006C6C16"/>
    <w:rsid w:val="006C6F1B"/>
    <w:rsid w:val="006C73CA"/>
    <w:rsid w:val="006C7C6C"/>
    <w:rsid w:val="006C7C87"/>
    <w:rsid w:val="006D074C"/>
    <w:rsid w:val="006D186C"/>
    <w:rsid w:val="006D275E"/>
    <w:rsid w:val="006D2AF5"/>
    <w:rsid w:val="006D34E7"/>
    <w:rsid w:val="006D5383"/>
    <w:rsid w:val="006D692F"/>
    <w:rsid w:val="006D7A3F"/>
    <w:rsid w:val="006D7E4C"/>
    <w:rsid w:val="006D7FFA"/>
    <w:rsid w:val="006E034F"/>
    <w:rsid w:val="006E03E0"/>
    <w:rsid w:val="006E04C4"/>
    <w:rsid w:val="006E12BC"/>
    <w:rsid w:val="006E31E6"/>
    <w:rsid w:val="006E3D4E"/>
    <w:rsid w:val="006E3D4F"/>
    <w:rsid w:val="006E57B6"/>
    <w:rsid w:val="006E5D92"/>
    <w:rsid w:val="006E6AA1"/>
    <w:rsid w:val="006E6B45"/>
    <w:rsid w:val="006E6D6B"/>
    <w:rsid w:val="006E71FC"/>
    <w:rsid w:val="006E776B"/>
    <w:rsid w:val="006E78A4"/>
    <w:rsid w:val="006F0317"/>
    <w:rsid w:val="006F0E2F"/>
    <w:rsid w:val="006F2424"/>
    <w:rsid w:val="006F24BB"/>
    <w:rsid w:val="006F2C66"/>
    <w:rsid w:val="006F2D8C"/>
    <w:rsid w:val="006F3087"/>
    <w:rsid w:val="006F42B3"/>
    <w:rsid w:val="006F4350"/>
    <w:rsid w:val="006F4F93"/>
    <w:rsid w:val="006F6948"/>
    <w:rsid w:val="006F6AC5"/>
    <w:rsid w:val="006F7054"/>
    <w:rsid w:val="006F75B1"/>
    <w:rsid w:val="006F7689"/>
    <w:rsid w:val="007003D7"/>
    <w:rsid w:val="00700533"/>
    <w:rsid w:val="00702C40"/>
    <w:rsid w:val="00706E95"/>
    <w:rsid w:val="007074B8"/>
    <w:rsid w:val="00707CB7"/>
    <w:rsid w:val="00710100"/>
    <w:rsid w:val="0071030D"/>
    <w:rsid w:val="00710678"/>
    <w:rsid w:val="0071076D"/>
    <w:rsid w:val="00710D7D"/>
    <w:rsid w:val="00710F30"/>
    <w:rsid w:val="00711DB4"/>
    <w:rsid w:val="00714237"/>
    <w:rsid w:val="007143F1"/>
    <w:rsid w:val="00714554"/>
    <w:rsid w:val="00714AA7"/>
    <w:rsid w:val="0071581C"/>
    <w:rsid w:val="00716995"/>
    <w:rsid w:val="00720E86"/>
    <w:rsid w:val="007216AA"/>
    <w:rsid w:val="007229BB"/>
    <w:rsid w:val="00722EFD"/>
    <w:rsid w:val="00722F34"/>
    <w:rsid w:val="00723289"/>
    <w:rsid w:val="0072344E"/>
    <w:rsid w:val="00723BDC"/>
    <w:rsid w:val="0072426F"/>
    <w:rsid w:val="007243D7"/>
    <w:rsid w:val="0072483B"/>
    <w:rsid w:val="0072657E"/>
    <w:rsid w:val="007269BD"/>
    <w:rsid w:val="007270A2"/>
    <w:rsid w:val="00727833"/>
    <w:rsid w:val="00727EF7"/>
    <w:rsid w:val="007303AE"/>
    <w:rsid w:val="00730B93"/>
    <w:rsid w:val="00730EF9"/>
    <w:rsid w:val="0073224A"/>
    <w:rsid w:val="0073232D"/>
    <w:rsid w:val="00732846"/>
    <w:rsid w:val="00736303"/>
    <w:rsid w:val="007369F6"/>
    <w:rsid w:val="0073727B"/>
    <w:rsid w:val="007378D4"/>
    <w:rsid w:val="00742122"/>
    <w:rsid w:val="00742D7B"/>
    <w:rsid w:val="007435C9"/>
    <w:rsid w:val="007436F5"/>
    <w:rsid w:val="00743903"/>
    <w:rsid w:val="00743934"/>
    <w:rsid w:val="007446FF"/>
    <w:rsid w:val="00744D9D"/>
    <w:rsid w:val="00746354"/>
    <w:rsid w:val="0074647F"/>
    <w:rsid w:val="00747338"/>
    <w:rsid w:val="0075134D"/>
    <w:rsid w:val="00753302"/>
    <w:rsid w:val="007548E8"/>
    <w:rsid w:val="00755461"/>
    <w:rsid w:val="00756288"/>
    <w:rsid w:val="0075663B"/>
    <w:rsid w:val="00760834"/>
    <w:rsid w:val="00761472"/>
    <w:rsid w:val="00763762"/>
    <w:rsid w:val="007644FB"/>
    <w:rsid w:val="00764CC3"/>
    <w:rsid w:val="007675F6"/>
    <w:rsid w:val="00767CC9"/>
    <w:rsid w:val="00767CD2"/>
    <w:rsid w:val="00770212"/>
    <w:rsid w:val="00771869"/>
    <w:rsid w:val="00773BB4"/>
    <w:rsid w:val="00773EDF"/>
    <w:rsid w:val="00774713"/>
    <w:rsid w:val="00775E13"/>
    <w:rsid w:val="007802E0"/>
    <w:rsid w:val="00780CFE"/>
    <w:rsid w:val="007814A3"/>
    <w:rsid w:val="007835EF"/>
    <w:rsid w:val="00783C53"/>
    <w:rsid w:val="0078423E"/>
    <w:rsid w:val="00785917"/>
    <w:rsid w:val="00785B31"/>
    <w:rsid w:val="00790C04"/>
    <w:rsid w:val="007925D4"/>
    <w:rsid w:val="0079351F"/>
    <w:rsid w:val="00794628"/>
    <w:rsid w:val="00794D21"/>
    <w:rsid w:val="00796B88"/>
    <w:rsid w:val="00796F95"/>
    <w:rsid w:val="00797421"/>
    <w:rsid w:val="007978EB"/>
    <w:rsid w:val="007A1296"/>
    <w:rsid w:val="007A1656"/>
    <w:rsid w:val="007A1721"/>
    <w:rsid w:val="007A20B7"/>
    <w:rsid w:val="007A26F9"/>
    <w:rsid w:val="007A2B8C"/>
    <w:rsid w:val="007A2D5B"/>
    <w:rsid w:val="007A37D3"/>
    <w:rsid w:val="007A43ED"/>
    <w:rsid w:val="007A599E"/>
    <w:rsid w:val="007A5A45"/>
    <w:rsid w:val="007A5D1B"/>
    <w:rsid w:val="007A6920"/>
    <w:rsid w:val="007A6B3B"/>
    <w:rsid w:val="007A6DB3"/>
    <w:rsid w:val="007A6ED3"/>
    <w:rsid w:val="007A75AC"/>
    <w:rsid w:val="007A7E6A"/>
    <w:rsid w:val="007B047A"/>
    <w:rsid w:val="007B055B"/>
    <w:rsid w:val="007B06F1"/>
    <w:rsid w:val="007B0747"/>
    <w:rsid w:val="007B0923"/>
    <w:rsid w:val="007B135F"/>
    <w:rsid w:val="007B140F"/>
    <w:rsid w:val="007B28B4"/>
    <w:rsid w:val="007B2D2D"/>
    <w:rsid w:val="007B2FF1"/>
    <w:rsid w:val="007B4EF9"/>
    <w:rsid w:val="007B527E"/>
    <w:rsid w:val="007B601D"/>
    <w:rsid w:val="007B60DD"/>
    <w:rsid w:val="007B6F2A"/>
    <w:rsid w:val="007C1107"/>
    <w:rsid w:val="007C209B"/>
    <w:rsid w:val="007C313E"/>
    <w:rsid w:val="007C3869"/>
    <w:rsid w:val="007C3BE5"/>
    <w:rsid w:val="007C45F0"/>
    <w:rsid w:val="007C580B"/>
    <w:rsid w:val="007C5A0A"/>
    <w:rsid w:val="007C6018"/>
    <w:rsid w:val="007D02D7"/>
    <w:rsid w:val="007D120F"/>
    <w:rsid w:val="007D18BE"/>
    <w:rsid w:val="007D2BF9"/>
    <w:rsid w:val="007D3582"/>
    <w:rsid w:val="007D3614"/>
    <w:rsid w:val="007D37E3"/>
    <w:rsid w:val="007D3921"/>
    <w:rsid w:val="007D4DB8"/>
    <w:rsid w:val="007D4F9F"/>
    <w:rsid w:val="007D62CD"/>
    <w:rsid w:val="007D70CE"/>
    <w:rsid w:val="007D7A8C"/>
    <w:rsid w:val="007D7E9A"/>
    <w:rsid w:val="007E073E"/>
    <w:rsid w:val="007E12FB"/>
    <w:rsid w:val="007E215D"/>
    <w:rsid w:val="007E25F9"/>
    <w:rsid w:val="007E4C1F"/>
    <w:rsid w:val="007E6871"/>
    <w:rsid w:val="007E7A4F"/>
    <w:rsid w:val="007F0AB4"/>
    <w:rsid w:val="007F1892"/>
    <w:rsid w:val="007F2965"/>
    <w:rsid w:val="007F30C5"/>
    <w:rsid w:val="007F33D2"/>
    <w:rsid w:val="007F36E0"/>
    <w:rsid w:val="007F3C40"/>
    <w:rsid w:val="007F41A2"/>
    <w:rsid w:val="007F5D5B"/>
    <w:rsid w:val="007F5F82"/>
    <w:rsid w:val="007F60F0"/>
    <w:rsid w:val="007F6431"/>
    <w:rsid w:val="007F6CF0"/>
    <w:rsid w:val="00801DDE"/>
    <w:rsid w:val="008037DB"/>
    <w:rsid w:val="00803DBA"/>
    <w:rsid w:val="00804B68"/>
    <w:rsid w:val="00805246"/>
    <w:rsid w:val="00805C53"/>
    <w:rsid w:val="00806281"/>
    <w:rsid w:val="00806940"/>
    <w:rsid w:val="00806CA1"/>
    <w:rsid w:val="00807701"/>
    <w:rsid w:val="0081030A"/>
    <w:rsid w:val="00811E27"/>
    <w:rsid w:val="00812B39"/>
    <w:rsid w:val="008137A1"/>
    <w:rsid w:val="00813E8F"/>
    <w:rsid w:val="00814BAD"/>
    <w:rsid w:val="00815532"/>
    <w:rsid w:val="00816088"/>
    <w:rsid w:val="008163BE"/>
    <w:rsid w:val="00816710"/>
    <w:rsid w:val="0081683A"/>
    <w:rsid w:val="00816DBE"/>
    <w:rsid w:val="008174C5"/>
    <w:rsid w:val="008176F2"/>
    <w:rsid w:val="0082000D"/>
    <w:rsid w:val="00820C8A"/>
    <w:rsid w:val="00820EE3"/>
    <w:rsid w:val="00821BEC"/>
    <w:rsid w:val="0082465F"/>
    <w:rsid w:val="00824947"/>
    <w:rsid w:val="008254B7"/>
    <w:rsid w:val="0082563A"/>
    <w:rsid w:val="008272B7"/>
    <w:rsid w:val="008272D8"/>
    <w:rsid w:val="00827EA5"/>
    <w:rsid w:val="00830282"/>
    <w:rsid w:val="00830500"/>
    <w:rsid w:val="00831F52"/>
    <w:rsid w:val="008333EF"/>
    <w:rsid w:val="008339C7"/>
    <w:rsid w:val="00833F0F"/>
    <w:rsid w:val="008340C9"/>
    <w:rsid w:val="008352DC"/>
    <w:rsid w:val="0083555C"/>
    <w:rsid w:val="00837C85"/>
    <w:rsid w:val="00837FB3"/>
    <w:rsid w:val="00840224"/>
    <w:rsid w:val="00841050"/>
    <w:rsid w:val="00842C1E"/>
    <w:rsid w:val="00845381"/>
    <w:rsid w:val="008465A8"/>
    <w:rsid w:val="00847EE2"/>
    <w:rsid w:val="0085029A"/>
    <w:rsid w:val="00852430"/>
    <w:rsid w:val="00855A8C"/>
    <w:rsid w:val="00856141"/>
    <w:rsid w:val="0085659E"/>
    <w:rsid w:val="008575EE"/>
    <w:rsid w:val="0086026D"/>
    <w:rsid w:val="008616A9"/>
    <w:rsid w:val="0086395F"/>
    <w:rsid w:val="00864305"/>
    <w:rsid w:val="00864A8B"/>
    <w:rsid w:val="00865031"/>
    <w:rsid w:val="00865397"/>
    <w:rsid w:val="00865AE3"/>
    <w:rsid w:val="0086625C"/>
    <w:rsid w:val="00866841"/>
    <w:rsid w:val="00870040"/>
    <w:rsid w:val="0087181F"/>
    <w:rsid w:val="008725B4"/>
    <w:rsid w:val="008728AA"/>
    <w:rsid w:val="00872B31"/>
    <w:rsid w:val="00873656"/>
    <w:rsid w:val="008736F9"/>
    <w:rsid w:val="0087405E"/>
    <w:rsid w:val="00875074"/>
    <w:rsid w:val="00875533"/>
    <w:rsid w:val="0087682F"/>
    <w:rsid w:val="00876D76"/>
    <w:rsid w:val="00877420"/>
    <w:rsid w:val="008776AA"/>
    <w:rsid w:val="00880685"/>
    <w:rsid w:val="0088074D"/>
    <w:rsid w:val="00880B16"/>
    <w:rsid w:val="00882116"/>
    <w:rsid w:val="00882CB9"/>
    <w:rsid w:val="00883DA6"/>
    <w:rsid w:val="00884422"/>
    <w:rsid w:val="00884D11"/>
    <w:rsid w:val="0088519B"/>
    <w:rsid w:val="00886372"/>
    <w:rsid w:val="00886E7E"/>
    <w:rsid w:val="00886ECF"/>
    <w:rsid w:val="00887CB0"/>
    <w:rsid w:val="008905D7"/>
    <w:rsid w:val="00890CC9"/>
    <w:rsid w:val="008929B2"/>
    <w:rsid w:val="00892FC4"/>
    <w:rsid w:val="00893CF7"/>
    <w:rsid w:val="00894874"/>
    <w:rsid w:val="00896D58"/>
    <w:rsid w:val="008979CA"/>
    <w:rsid w:val="008A07EE"/>
    <w:rsid w:val="008A0D58"/>
    <w:rsid w:val="008A2129"/>
    <w:rsid w:val="008A2AA8"/>
    <w:rsid w:val="008A32E9"/>
    <w:rsid w:val="008A3696"/>
    <w:rsid w:val="008A3CD1"/>
    <w:rsid w:val="008A412D"/>
    <w:rsid w:val="008A4388"/>
    <w:rsid w:val="008A7506"/>
    <w:rsid w:val="008A77AC"/>
    <w:rsid w:val="008B014A"/>
    <w:rsid w:val="008B13D8"/>
    <w:rsid w:val="008B27CE"/>
    <w:rsid w:val="008B2AC5"/>
    <w:rsid w:val="008B41AE"/>
    <w:rsid w:val="008B4953"/>
    <w:rsid w:val="008B5094"/>
    <w:rsid w:val="008B531F"/>
    <w:rsid w:val="008C0F68"/>
    <w:rsid w:val="008C12A0"/>
    <w:rsid w:val="008C1920"/>
    <w:rsid w:val="008C1CFB"/>
    <w:rsid w:val="008C1D8C"/>
    <w:rsid w:val="008C3812"/>
    <w:rsid w:val="008C3EDC"/>
    <w:rsid w:val="008C403F"/>
    <w:rsid w:val="008C4447"/>
    <w:rsid w:val="008C625D"/>
    <w:rsid w:val="008C6E10"/>
    <w:rsid w:val="008C6FA0"/>
    <w:rsid w:val="008C756F"/>
    <w:rsid w:val="008C77E3"/>
    <w:rsid w:val="008D04F9"/>
    <w:rsid w:val="008D06BD"/>
    <w:rsid w:val="008D0FA5"/>
    <w:rsid w:val="008D1C05"/>
    <w:rsid w:val="008D3063"/>
    <w:rsid w:val="008D45AC"/>
    <w:rsid w:val="008D49EE"/>
    <w:rsid w:val="008D65E3"/>
    <w:rsid w:val="008D7B2E"/>
    <w:rsid w:val="008D7DBF"/>
    <w:rsid w:val="008E1794"/>
    <w:rsid w:val="008E1DBB"/>
    <w:rsid w:val="008E2E04"/>
    <w:rsid w:val="008E2F24"/>
    <w:rsid w:val="008E3D88"/>
    <w:rsid w:val="008E41A9"/>
    <w:rsid w:val="008E5CBE"/>
    <w:rsid w:val="008E602B"/>
    <w:rsid w:val="008E64BF"/>
    <w:rsid w:val="008F116A"/>
    <w:rsid w:val="008F1E67"/>
    <w:rsid w:val="008F271B"/>
    <w:rsid w:val="008F2999"/>
    <w:rsid w:val="008F2E6C"/>
    <w:rsid w:val="008F328E"/>
    <w:rsid w:val="008F3368"/>
    <w:rsid w:val="008F48DC"/>
    <w:rsid w:val="008F4CA7"/>
    <w:rsid w:val="008F4F9F"/>
    <w:rsid w:val="008F61F2"/>
    <w:rsid w:val="008F6F82"/>
    <w:rsid w:val="0090083E"/>
    <w:rsid w:val="00902CB0"/>
    <w:rsid w:val="00903294"/>
    <w:rsid w:val="00903FE0"/>
    <w:rsid w:val="00904076"/>
    <w:rsid w:val="009044FC"/>
    <w:rsid w:val="0090512D"/>
    <w:rsid w:val="009053F4"/>
    <w:rsid w:val="00905AAD"/>
    <w:rsid w:val="0090665F"/>
    <w:rsid w:val="0090699B"/>
    <w:rsid w:val="00907580"/>
    <w:rsid w:val="00911386"/>
    <w:rsid w:val="00911DAF"/>
    <w:rsid w:val="009123F6"/>
    <w:rsid w:val="00913433"/>
    <w:rsid w:val="0091365F"/>
    <w:rsid w:val="00913A11"/>
    <w:rsid w:val="00913D13"/>
    <w:rsid w:val="009147C8"/>
    <w:rsid w:val="00914ECB"/>
    <w:rsid w:val="00915771"/>
    <w:rsid w:val="00915782"/>
    <w:rsid w:val="00915DE2"/>
    <w:rsid w:val="0091603E"/>
    <w:rsid w:val="00916071"/>
    <w:rsid w:val="00917CFC"/>
    <w:rsid w:val="0092045E"/>
    <w:rsid w:val="0092098A"/>
    <w:rsid w:val="009212FB"/>
    <w:rsid w:val="00922C56"/>
    <w:rsid w:val="009231D6"/>
    <w:rsid w:val="009240DB"/>
    <w:rsid w:val="00924457"/>
    <w:rsid w:val="009260D3"/>
    <w:rsid w:val="0093002E"/>
    <w:rsid w:val="00930F61"/>
    <w:rsid w:val="00931889"/>
    <w:rsid w:val="00931BF4"/>
    <w:rsid w:val="0093200E"/>
    <w:rsid w:val="0093269B"/>
    <w:rsid w:val="009342BE"/>
    <w:rsid w:val="00936479"/>
    <w:rsid w:val="00936993"/>
    <w:rsid w:val="00936CC1"/>
    <w:rsid w:val="009370A0"/>
    <w:rsid w:val="0093776E"/>
    <w:rsid w:val="00937A04"/>
    <w:rsid w:val="00937F05"/>
    <w:rsid w:val="009407FB"/>
    <w:rsid w:val="00941005"/>
    <w:rsid w:val="009422E2"/>
    <w:rsid w:val="009432C3"/>
    <w:rsid w:val="00944833"/>
    <w:rsid w:val="009453D3"/>
    <w:rsid w:val="00945728"/>
    <w:rsid w:val="00945BB8"/>
    <w:rsid w:val="00947335"/>
    <w:rsid w:val="00953072"/>
    <w:rsid w:val="00953BAE"/>
    <w:rsid w:val="009551A7"/>
    <w:rsid w:val="00955F0A"/>
    <w:rsid w:val="009564E9"/>
    <w:rsid w:val="00957FC1"/>
    <w:rsid w:val="0096089C"/>
    <w:rsid w:val="009615A0"/>
    <w:rsid w:val="00963BEF"/>
    <w:rsid w:val="00963C85"/>
    <w:rsid w:val="00963DEB"/>
    <w:rsid w:val="009640AA"/>
    <w:rsid w:val="00964567"/>
    <w:rsid w:val="00964973"/>
    <w:rsid w:val="00964B72"/>
    <w:rsid w:val="009650FC"/>
    <w:rsid w:val="00966457"/>
    <w:rsid w:val="00967725"/>
    <w:rsid w:val="00967AC0"/>
    <w:rsid w:val="00970C4B"/>
    <w:rsid w:val="00971D01"/>
    <w:rsid w:val="00972B58"/>
    <w:rsid w:val="00974ACD"/>
    <w:rsid w:val="00974B27"/>
    <w:rsid w:val="00975647"/>
    <w:rsid w:val="00976439"/>
    <w:rsid w:val="009767F8"/>
    <w:rsid w:val="00976E63"/>
    <w:rsid w:val="00976FED"/>
    <w:rsid w:val="00980C4D"/>
    <w:rsid w:val="00981365"/>
    <w:rsid w:val="00981DBF"/>
    <w:rsid w:val="009831E5"/>
    <w:rsid w:val="00984852"/>
    <w:rsid w:val="009848B2"/>
    <w:rsid w:val="00984A0B"/>
    <w:rsid w:val="009851E0"/>
    <w:rsid w:val="009857ED"/>
    <w:rsid w:val="009860BF"/>
    <w:rsid w:val="0098635B"/>
    <w:rsid w:val="00986B4A"/>
    <w:rsid w:val="00986DF9"/>
    <w:rsid w:val="009874B1"/>
    <w:rsid w:val="00987AA6"/>
    <w:rsid w:val="0099006D"/>
    <w:rsid w:val="009905E8"/>
    <w:rsid w:val="00991403"/>
    <w:rsid w:val="009921DD"/>
    <w:rsid w:val="00992470"/>
    <w:rsid w:val="00992A41"/>
    <w:rsid w:val="009944AD"/>
    <w:rsid w:val="009944D8"/>
    <w:rsid w:val="00994703"/>
    <w:rsid w:val="009960D0"/>
    <w:rsid w:val="00996BC9"/>
    <w:rsid w:val="00997803"/>
    <w:rsid w:val="00997DC9"/>
    <w:rsid w:val="009A04A9"/>
    <w:rsid w:val="009A0759"/>
    <w:rsid w:val="009A0D65"/>
    <w:rsid w:val="009A171F"/>
    <w:rsid w:val="009A18B1"/>
    <w:rsid w:val="009A22AA"/>
    <w:rsid w:val="009A2F4E"/>
    <w:rsid w:val="009A2FA5"/>
    <w:rsid w:val="009A372E"/>
    <w:rsid w:val="009A391D"/>
    <w:rsid w:val="009A3AA7"/>
    <w:rsid w:val="009A3B87"/>
    <w:rsid w:val="009A44B5"/>
    <w:rsid w:val="009A4FBA"/>
    <w:rsid w:val="009A57B0"/>
    <w:rsid w:val="009A689E"/>
    <w:rsid w:val="009A6D6D"/>
    <w:rsid w:val="009A71E2"/>
    <w:rsid w:val="009A7268"/>
    <w:rsid w:val="009A7C4E"/>
    <w:rsid w:val="009B0A56"/>
    <w:rsid w:val="009B0DF3"/>
    <w:rsid w:val="009B1105"/>
    <w:rsid w:val="009B1C2D"/>
    <w:rsid w:val="009B22BB"/>
    <w:rsid w:val="009B34B1"/>
    <w:rsid w:val="009B41DC"/>
    <w:rsid w:val="009B425B"/>
    <w:rsid w:val="009B469E"/>
    <w:rsid w:val="009B5021"/>
    <w:rsid w:val="009B54D5"/>
    <w:rsid w:val="009B5585"/>
    <w:rsid w:val="009B65B5"/>
    <w:rsid w:val="009B6838"/>
    <w:rsid w:val="009B701A"/>
    <w:rsid w:val="009C0813"/>
    <w:rsid w:val="009C0CD8"/>
    <w:rsid w:val="009C3AA8"/>
    <w:rsid w:val="009C409E"/>
    <w:rsid w:val="009C5123"/>
    <w:rsid w:val="009C5F63"/>
    <w:rsid w:val="009C6A3D"/>
    <w:rsid w:val="009C6B03"/>
    <w:rsid w:val="009C6E0A"/>
    <w:rsid w:val="009C72CE"/>
    <w:rsid w:val="009C74DF"/>
    <w:rsid w:val="009D4013"/>
    <w:rsid w:val="009D4291"/>
    <w:rsid w:val="009D4AFF"/>
    <w:rsid w:val="009D591D"/>
    <w:rsid w:val="009D61CA"/>
    <w:rsid w:val="009D6E6B"/>
    <w:rsid w:val="009D74B2"/>
    <w:rsid w:val="009D7D14"/>
    <w:rsid w:val="009E01F9"/>
    <w:rsid w:val="009E0238"/>
    <w:rsid w:val="009E080E"/>
    <w:rsid w:val="009E1553"/>
    <w:rsid w:val="009E166D"/>
    <w:rsid w:val="009E2B58"/>
    <w:rsid w:val="009E2DD0"/>
    <w:rsid w:val="009E3DF8"/>
    <w:rsid w:val="009E4270"/>
    <w:rsid w:val="009E5013"/>
    <w:rsid w:val="009E5BBA"/>
    <w:rsid w:val="009E6158"/>
    <w:rsid w:val="009E6F7D"/>
    <w:rsid w:val="009E73AA"/>
    <w:rsid w:val="009E7696"/>
    <w:rsid w:val="009E7B6F"/>
    <w:rsid w:val="009E7FA8"/>
    <w:rsid w:val="009F035F"/>
    <w:rsid w:val="009F0E83"/>
    <w:rsid w:val="009F271C"/>
    <w:rsid w:val="009F29A1"/>
    <w:rsid w:val="009F2AC0"/>
    <w:rsid w:val="009F3474"/>
    <w:rsid w:val="009F467E"/>
    <w:rsid w:val="009F48BA"/>
    <w:rsid w:val="009F5192"/>
    <w:rsid w:val="009F64E6"/>
    <w:rsid w:val="009F6967"/>
    <w:rsid w:val="009F7655"/>
    <w:rsid w:val="009F7B31"/>
    <w:rsid w:val="009F7D6C"/>
    <w:rsid w:val="009F7DD3"/>
    <w:rsid w:val="00A00185"/>
    <w:rsid w:val="00A014C2"/>
    <w:rsid w:val="00A016C8"/>
    <w:rsid w:val="00A02E57"/>
    <w:rsid w:val="00A030C0"/>
    <w:rsid w:val="00A03432"/>
    <w:rsid w:val="00A03DC9"/>
    <w:rsid w:val="00A0530C"/>
    <w:rsid w:val="00A055CF"/>
    <w:rsid w:val="00A06635"/>
    <w:rsid w:val="00A06875"/>
    <w:rsid w:val="00A0736B"/>
    <w:rsid w:val="00A11163"/>
    <w:rsid w:val="00A12E0B"/>
    <w:rsid w:val="00A162BB"/>
    <w:rsid w:val="00A16815"/>
    <w:rsid w:val="00A17336"/>
    <w:rsid w:val="00A176DF"/>
    <w:rsid w:val="00A17BD7"/>
    <w:rsid w:val="00A20266"/>
    <w:rsid w:val="00A20403"/>
    <w:rsid w:val="00A212D4"/>
    <w:rsid w:val="00A21B88"/>
    <w:rsid w:val="00A2261B"/>
    <w:rsid w:val="00A25295"/>
    <w:rsid w:val="00A25350"/>
    <w:rsid w:val="00A2578F"/>
    <w:rsid w:val="00A25B3C"/>
    <w:rsid w:val="00A26760"/>
    <w:rsid w:val="00A26D62"/>
    <w:rsid w:val="00A27673"/>
    <w:rsid w:val="00A27CF8"/>
    <w:rsid w:val="00A31639"/>
    <w:rsid w:val="00A32221"/>
    <w:rsid w:val="00A33919"/>
    <w:rsid w:val="00A33C58"/>
    <w:rsid w:val="00A33F33"/>
    <w:rsid w:val="00A35B82"/>
    <w:rsid w:val="00A35BC8"/>
    <w:rsid w:val="00A36F3F"/>
    <w:rsid w:val="00A37ED3"/>
    <w:rsid w:val="00A405A1"/>
    <w:rsid w:val="00A40EAB"/>
    <w:rsid w:val="00A42AE4"/>
    <w:rsid w:val="00A43BEF"/>
    <w:rsid w:val="00A4461A"/>
    <w:rsid w:val="00A453BC"/>
    <w:rsid w:val="00A454E9"/>
    <w:rsid w:val="00A473CE"/>
    <w:rsid w:val="00A50472"/>
    <w:rsid w:val="00A51291"/>
    <w:rsid w:val="00A5240F"/>
    <w:rsid w:val="00A53152"/>
    <w:rsid w:val="00A535AE"/>
    <w:rsid w:val="00A53D1D"/>
    <w:rsid w:val="00A54EAA"/>
    <w:rsid w:val="00A56096"/>
    <w:rsid w:val="00A569D9"/>
    <w:rsid w:val="00A575EC"/>
    <w:rsid w:val="00A577D0"/>
    <w:rsid w:val="00A57E47"/>
    <w:rsid w:val="00A6056F"/>
    <w:rsid w:val="00A60981"/>
    <w:rsid w:val="00A62704"/>
    <w:rsid w:val="00A62F90"/>
    <w:rsid w:val="00A639D0"/>
    <w:rsid w:val="00A6425F"/>
    <w:rsid w:val="00A652D6"/>
    <w:rsid w:val="00A662E6"/>
    <w:rsid w:val="00A670A6"/>
    <w:rsid w:val="00A72258"/>
    <w:rsid w:val="00A727E2"/>
    <w:rsid w:val="00A74EC4"/>
    <w:rsid w:val="00A752F5"/>
    <w:rsid w:val="00A759D2"/>
    <w:rsid w:val="00A75F4F"/>
    <w:rsid w:val="00A760C7"/>
    <w:rsid w:val="00A80779"/>
    <w:rsid w:val="00A81E2F"/>
    <w:rsid w:val="00A82338"/>
    <w:rsid w:val="00A82898"/>
    <w:rsid w:val="00A82EFA"/>
    <w:rsid w:val="00A83125"/>
    <w:rsid w:val="00A83291"/>
    <w:rsid w:val="00A835ED"/>
    <w:rsid w:val="00A83ED1"/>
    <w:rsid w:val="00A85AFF"/>
    <w:rsid w:val="00A85D99"/>
    <w:rsid w:val="00A86B46"/>
    <w:rsid w:val="00A8725D"/>
    <w:rsid w:val="00A902D1"/>
    <w:rsid w:val="00A9311F"/>
    <w:rsid w:val="00A93659"/>
    <w:rsid w:val="00A95496"/>
    <w:rsid w:val="00A958CF"/>
    <w:rsid w:val="00A95C5D"/>
    <w:rsid w:val="00A970D1"/>
    <w:rsid w:val="00AA17E8"/>
    <w:rsid w:val="00AA2B88"/>
    <w:rsid w:val="00AA3710"/>
    <w:rsid w:val="00AA43E0"/>
    <w:rsid w:val="00AA44BC"/>
    <w:rsid w:val="00AA4790"/>
    <w:rsid w:val="00AA4981"/>
    <w:rsid w:val="00AA627D"/>
    <w:rsid w:val="00AA6721"/>
    <w:rsid w:val="00AA6D8C"/>
    <w:rsid w:val="00AA7E0C"/>
    <w:rsid w:val="00AB075E"/>
    <w:rsid w:val="00AB1846"/>
    <w:rsid w:val="00AB20B0"/>
    <w:rsid w:val="00AB2780"/>
    <w:rsid w:val="00AB2CFE"/>
    <w:rsid w:val="00AB2D05"/>
    <w:rsid w:val="00AB3097"/>
    <w:rsid w:val="00AB35C7"/>
    <w:rsid w:val="00AB41A3"/>
    <w:rsid w:val="00AB4726"/>
    <w:rsid w:val="00AB5349"/>
    <w:rsid w:val="00AB668F"/>
    <w:rsid w:val="00AB6A9E"/>
    <w:rsid w:val="00AB6B5D"/>
    <w:rsid w:val="00AB704D"/>
    <w:rsid w:val="00AB7F8D"/>
    <w:rsid w:val="00AC0FE5"/>
    <w:rsid w:val="00AC154E"/>
    <w:rsid w:val="00AC1616"/>
    <w:rsid w:val="00AC1ECC"/>
    <w:rsid w:val="00AC26C7"/>
    <w:rsid w:val="00AC2DF3"/>
    <w:rsid w:val="00AC4423"/>
    <w:rsid w:val="00AC6F22"/>
    <w:rsid w:val="00AD08E3"/>
    <w:rsid w:val="00AD0C07"/>
    <w:rsid w:val="00AD0DEC"/>
    <w:rsid w:val="00AD1C11"/>
    <w:rsid w:val="00AD3108"/>
    <w:rsid w:val="00AD437C"/>
    <w:rsid w:val="00AD5424"/>
    <w:rsid w:val="00AD55E9"/>
    <w:rsid w:val="00AD57A9"/>
    <w:rsid w:val="00AD5DC4"/>
    <w:rsid w:val="00AD5E26"/>
    <w:rsid w:val="00AD6098"/>
    <w:rsid w:val="00AD650D"/>
    <w:rsid w:val="00AD6D70"/>
    <w:rsid w:val="00AE08E7"/>
    <w:rsid w:val="00AE12B5"/>
    <w:rsid w:val="00AE285A"/>
    <w:rsid w:val="00AE3658"/>
    <w:rsid w:val="00AE3CE6"/>
    <w:rsid w:val="00AE50FA"/>
    <w:rsid w:val="00AE6295"/>
    <w:rsid w:val="00AE7DB7"/>
    <w:rsid w:val="00AF002D"/>
    <w:rsid w:val="00AF1A3C"/>
    <w:rsid w:val="00AF1B5B"/>
    <w:rsid w:val="00AF26ED"/>
    <w:rsid w:val="00AF303F"/>
    <w:rsid w:val="00AF45D0"/>
    <w:rsid w:val="00AF48A7"/>
    <w:rsid w:val="00AF4A65"/>
    <w:rsid w:val="00AF58F2"/>
    <w:rsid w:val="00AF70B9"/>
    <w:rsid w:val="00AF79EE"/>
    <w:rsid w:val="00B00593"/>
    <w:rsid w:val="00B0125F"/>
    <w:rsid w:val="00B016F9"/>
    <w:rsid w:val="00B01877"/>
    <w:rsid w:val="00B0202E"/>
    <w:rsid w:val="00B04C43"/>
    <w:rsid w:val="00B05BE4"/>
    <w:rsid w:val="00B06890"/>
    <w:rsid w:val="00B070D0"/>
    <w:rsid w:val="00B07C51"/>
    <w:rsid w:val="00B10174"/>
    <w:rsid w:val="00B102AD"/>
    <w:rsid w:val="00B1167A"/>
    <w:rsid w:val="00B1247E"/>
    <w:rsid w:val="00B13C69"/>
    <w:rsid w:val="00B14437"/>
    <w:rsid w:val="00B17A30"/>
    <w:rsid w:val="00B204A5"/>
    <w:rsid w:val="00B20A15"/>
    <w:rsid w:val="00B21AB5"/>
    <w:rsid w:val="00B21EE7"/>
    <w:rsid w:val="00B2381B"/>
    <w:rsid w:val="00B23BC6"/>
    <w:rsid w:val="00B24979"/>
    <w:rsid w:val="00B2579C"/>
    <w:rsid w:val="00B25E72"/>
    <w:rsid w:val="00B34956"/>
    <w:rsid w:val="00B35512"/>
    <w:rsid w:val="00B36319"/>
    <w:rsid w:val="00B366C1"/>
    <w:rsid w:val="00B40F27"/>
    <w:rsid w:val="00B419C8"/>
    <w:rsid w:val="00B41CB2"/>
    <w:rsid w:val="00B41E5A"/>
    <w:rsid w:val="00B422CD"/>
    <w:rsid w:val="00B42427"/>
    <w:rsid w:val="00B43A80"/>
    <w:rsid w:val="00B44185"/>
    <w:rsid w:val="00B44EF6"/>
    <w:rsid w:val="00B457FD"/>
    <w:rsid w:val="00B47127"/>
    <w:rsid w:val="00B479A8"/>
    <w:rsid w:val="00B479E7"/>
    <w:rsid w:val="00B5064E"/>
    <w:rsid w:val="00B51D08"/>
    <w:rsid w:val="00B52472"/>
    <w:rsid w:val="00B528FE"/>
    <w:rsid w:val="00B52995"/>
    <w:rsid w:val="00B52F38"/>
    <w:rsid w:val="00B537A1"/>
    <w:rsid w:val="00B53A89"/>
    <w:rsid w:val="00B54069"/>
    <w:rsid w:val="00B54783"/>
    <w:rsid w:val="00B55470"/>
    <w:rsid w:val="00B56566"/>
    <w:rsid w:val="00B57532"/>
    <w:rsid w:val="00B60C99"/>
    <w:rsid w:val="00B60E43"/>
    <w:rsid w:val="00B60F40"/>
    <w:rsid w:val="00B61E75"/>
    <w:rsid w:val="00B6273A"/>
    <w:rsid w:val="00B62C5C"/>
    <w:rsid w:val="00B63B19"/>
    <w:rsid w:val="00B63DF7"/>
    <w:rsid w:val="00B63FEC"/>
    <w:rsid w:val="00B64235"/>
    <w:rsid w:val="00B653CF"/>
    <w:rsid w:val="00B661B4"/>
    <w:rsid w:val="00B665C9"/>
    <w:rsid w:val="00B70AC8"/>
    <w:rsid w:val="00B726FC"/>
    <w:rsid w:val="00B73152"/>
    <w:rsid w:val="00B734D0"/>
    <w:rsid w:val="00B75974"/>
    <w:rsid w:val="00B812B6"/>
    <w:rsid w:val="00B81378"/>
    <w:rsid w:val="00B8254F"/>
    <w:rsid w:val="00B84645"/>
    <w:rsid w:val="00B84767"/>
    <w:rsid w:val="00B84DBA"/>
    <w:rsid w:val="00B86126"/>
    <w:rsid w:val="00B86562"/>
    <w:rsid w:val="00B87086"/>
    <w:rsid w:val="00B90B1C"/>
    <w:rsid w:val="00B91196"/>
    <w:rsid w:val="00B93103"/>
    <w:rsid w:val="00B93505"/>
    <w:rsid w:val="00B93BCD"/>
    <w:rsid w:val="00B93C01"/>
    <w:rsid w:val="00B94DF4"/>
    <w:rsid w:val="00B960B9"/>
    <w:rsid w:val="00B96A6A"/>
    <w:rsid w:val="00BA12F1"/>
    <w:rsid w:val="00BA1824"/>
    <w:rsid w:val="00BA22A1"/>
    <w:rsid w:val="00BA26C5"/>
    <w:rsid w:val="00BA2BEF"/>
    <w:rsid w:val="00BA2D02"/>
    <w:rsid w:val="00BA39B7"/>
    <w:rsid w:val="00BA4188"/>
    <w:rsid w:val="00BA449C"/>
    <w:rsid w:val="00BA44DD"/>
    <w:rsid w:val="00BA45B7"/>
    <w:rsid w:val="00BA4704"/>
    <w:rsid w:val="00BA5738"/>
    <w:rsid w:val="00BA5B5F"/>
    <w:rsid w:val="00BB04FD"/>
    <w:rsid w:val="00BB07F4"/>
    <w:rsid w:val="00BB0DC8"/>
    <w:rsid w:val="00BB1CCC"/>
    <w:rsid w:val="00BB2408"/>
    <w:rsid w:val="00BB2C3A"/>
    <w:rsid w:val="00BB516B"/>
    <w:rsid w:val="00BB52E9"/>
    <w:rsid w:val="00BB63BD"/>
    <w:rsid w:val="00BB652C"/>
    <w:rsid w:val="00BC0928"/>
    <w:rsid w:val="00BC2090"/>
    <w:rsid w:val="00BC34E7"/>
    <w:rsid w:val="00BC3963"/>
    <w:rsid w:val="00BC5E3D"/>
    <w:rsid w:val="00BD141A"/>
    <w:rsid w:val="00BD232B"/>
    <w:rsid w:val="00BD2B0F"/>
    <w:rsid w:val="00BD2F89"/>
    <w:rsid w:val="00BD35BB"/>
    <w:rsid w:val="00BD3B62"/>
    <w:rsid w:val="00BD4DEB"/>
    <w:rsid w:val="00BD5B6C"/>
    <w:rsid w:val="00BD64C4"/>
    <w:rsid w:val="00BD6955"/>
    <w:rsid w:val="00BD7C3B"/>
    <w:rsid w:val="00BD7E9A"/>
    <w:rsid w:val="00BE018D"/>
    <w:rsid w:val="00BE0534"/>
    <w:rsid w:val="00BE0C72"/>
    <w:rsid w:val="00BE13F4"/>
    <w:rsid w:val="00BE2039"/>
    <w:rsid w:val="00BE2C4D"/>
    <w:rsid w:val="00BE3B17"/>
    <w:rsid w:val="00BE3B9F"/>
    <w:rsid w:val="00BE4FCD"/>
    <w:rsid w:val="00BE51D0"/>
    <w:rsid w:val="00BE5B60"/>
    <w:rsid w:val="00BE6491"/>
    <w:rsid w:val="00BE6AA5"/>
    <w:rsid w:val="00BE7358"/>
    <w:rsid w:val="00BE7D8D"/>
    <w:rsid w:val="00BF004F"/>
    <w:rsid w:val="00BF021D"/>
    <w:rsid w:val="00BF2315"/>
    <w:rsid w:val="00BF385B"/>
    <w:rsid w:val="00BF3FE2"/>
    <w:rsid w:val="00BF4223"/>
    <w:rsid w:val="00BF685A"/>
    <w:rsid w:val="00BF69E3"/>
    <w:rsid w:val="00C0030C"/>
    <w:rsid w:val="00C0038D"/>
    <w:rsid w:val="00C00D4F"/>
    <w:rsid w:val="00C00EA0"/>
    <w:rsid w:val="00C01970"/>
    <w:rsid w:val="00C01D82"/>
    <w:rsid w:val="00C0213D"/>
    <w:rsid w:val="00C03582"/>
    <w:rsid w:val="00C035AB"/>
    <w:rsid w:val="00C04CE6"/>
    <w:rsid w:val="00C0547D"/>
    <w:rsid w:val="00C05BA3"/>
    <w:rsid w:val="00C06990"/>
    <w:rsid w:val="00C06DFC"/>
    <w:rsid w:val="00C06E66"/>
    <w:rsid w:val="00C100B0"/>
    <w:rsid w:val="00C1274F"/>
    <w:rsid w:val="00C12EEA"/>
    <w:rsid w:val="00C133E3"/>
    <w:rsid w:val="00C136DB"/>
    <w:rsid w:val="00C13A26"/>
    <w:rsid w:val="00C1789E"/>
    <w:rsid w:val="00C219F4"/>
    <w:rsid w:val="00C22630"/>
    <w:rsid w:val="00C23087"/>
    <w:rsid w:val="00C235DC"/>
    <w:rsid w:val="00C23693"/>
    <w:rsid w:val="00C23825"/>
    <w:rsid w:val="00C2755C"/>
    <w:rsid w:val="00C277B6"/>
    <w:rsid w:val="00C27B09"/>
    <w:rsid w:val="00C30C07"/>
    <w:rsid w:val="00C31047"/>
    <w:rsid w:val="00C315DA"/>
    <w:rsid w:val="00C31733"/>
    <w:rsid w:val="00C31EF9"/>
    <w:rsid w:val="00C3271F"/>
    <w:rsid w:val="00C327CD"/>
    <w:rsid w:val="00C331FA"/>
    <w:rsid w:val="00C34867"/>
    <w:rsid w:val="00C354F3"/>
    <w:rsid w:val="00C359F4"/>
    <w:rsid w:val="00C374C0"/>
    <w:rsid w:val="00C42094"/>
    <w:rsid w:val="00C425C3"/>
    <w:rsid w:val="00C440A2"/>
    <w:rsid w:val="00C449E7"/>
    <w:rsid w:val="00C44F6C"/>
    <w:rsid w:val="00C45730"/>
    <w:rsid w:val="00C46D22"/>
    <w:rsid w:val="00C47CF4"/>
    <w:rsid w:val="00C5020B"/>
    <w:rsid w:val="00C50A98"/>
    <w:rsid w:val="00C51082"/>
    <w:rsid w:val="00C5175A"/>
    <w:rsid w:val="00C52E08"/>
    <w:rsid w:val="00C5300A"/>
    <w:rsid w:val="00C53688"/>
    <w:rsid w:val="00C54266"/>
    <w:rsid w:val="00C54BED"/>
    <w:rsid w:val="00C54F3F"/>
    <w:rsid w:val="00C554F2"/>
    <w:rsid w:val="00C55737"/>
    <w:rsid w:val="00C5680E"/>
    <w:rsid w:val="00C5791C"/>
    <w:rsid w:val="00C57B65"/>
    <w:rsid w:val="00C57CA6"/>
    <w:rsid w:val="00C57D2B"/>
    <w:rsid w:val="00C60331"/>
    <w:rsid w:val="00C61AEB"/>
    <w:rsid w:val="00C62941"/>
    <w:rsid w:val="00C6303B"/>
    <w:rsid w:val="00C64167"/>
    <w:rsid w:val="00C6425E"/>
    <w:rsid w:val="00C70F9B"/>
    <w:rsid w:val="00C71BC0"/>
    <w:rsid w:val="00C72CA9"/>
    <w:rsid w:val="00C74D5A"/>
    <w:rsid w:val="00C75256"/>
    <w:rsid w:val="00C762FF"/>
    <w:rsid w:val="00C765D4"/>
    <w:rsid w:val="00C76B5A"/>
    <w:rsid w:val="00C80AB1"/>
    <w:rsid w:val="00C80CA2"/>
    <w:rsid w:val="00C80FB6"/>
    <w:rsid w:val="00C81839"/>
    <w:rsid w:val="00C8186E"/>
    <w:rsid w:val="00C82398"/>
    <w:rsid w:val="00C82C8F"/>
    <w:rsid w:val="00C82E23"/>
    <w:rsid w:val="00C8379D"/>
    <w:rsid w:val="00C837A6"/>
    <w:rsid w:val="00C8470F"/>
    <w:rsid w:val="00C84B64"/>
    <w:rsid w:val="00C85194"/>
    <w:rsid w:val="00C85EB4"/>
    <w:rsid w:val="00C86236"/>
    <w:rsid w:val="00C86A16"/>
    <w:rsid w:val="00C87062"/>
    <w:rsid w:val="00C87A73"/>
    <w:rsid w:val="00C90108"/>
    <w:rsid w:val="00C9046D"/>
    <w:rsid w:val="00C90EE4"/>
    <w:rsid w:val="00C90F11"/>
    <w:rsid w:val="00C912BC"/>
    <w:rsid w:val="00C91873"/>
    <w:rsid w:val="00C91E18"/>
    <w:rsid w:val="00C92198"/>
    <w:rsid w:val="00C92624"/>
    <w:rsid w:val="00C928E1"/>
    <w:rsid w:val="00C92F54"/>
    <w:rsid w:val="00C93668"/>
    <w:rsid w:val="00C94A8F"/>
    <w:rsid w:val="00C9501D"/>
    <w:rsid w:val="00C96917"/>
    <w:rsid w:val="00C96A33"/>
    <w:rsid w:val="00C96CCE"/>
    <w:rsid w:val="00CA1133"/>
    <w:rsid w:val="00CA11A6"/>
    <w:rsid w:val="00CA1512"/>
    <w:rsid w:val="00CA2035"/>
    <w:rsid w:val="00CA2176"/>
    <w:rsid w:val="00CA2178"/>
    <w:rsid w:val="00CA55AF"/>
    <w:rsid w:val="00CA59D9"/>
    <w:rsid w:val="00CB0AAF"/>
    <w:rsid w:val="00CB158B"/>
    <w:rsid w:val="00CB21C3"/>
    <w:rsid w:val="00CB2B42"/>
    <w:rsid w:val="00CB4D70"/>
    <w:rsid w:val="00CB54B3"/>
    <w:rsid w:val="00CB743B"/>
    <w:rsid w:val="00CB7DCC"/>
    <w:rsid w:val="00CC04FE"/>
    <w:rsid w:val="00CC0882"/>
    <w:rsid w:val="00CC0FA3"/>
    <w:rsid w:val="00CC0FED"/>
    <w:rsid w:val="00CC14E3"/>
    <w:rsid w:val="00CC28C3"/>
    <w:rsid w:val="00CC322A"/>
    <w:rsid w:val="00CC43BD"/>
    <w:rsid w:val="00CC4621"/>
    <w:rsid w:val="00CC4908"/>
    <w:rsid w:val="00CC5889"/>
    <w:rsid w:val="00CC6B13"/>
    <w:rsid w:val="00CD0957"/>
    <w:rsid w:val="00CD138B"/>
    <w:rsid w:val="00CD1784"/>
    <w:rsid w:val="00CD1BFD"/>
    <w:rsid w:val="00CD2233"/>
    <w:rsid w:val="00CD30CA"/>
    <w:rsid w:val="00CD3D64"/>
    <w:rsid w:val="00CD3DC5"/>
    <w:rsid w:val="00CD45AB"/>
    <w:rsid w:val="00CD48DB"/>
    <w:rsid w:val="00CE14AB"/>
    <w:rsid w:val="00CE3043"/>
    <w:rsid w:val="00CE3476"/>
    <w:rsid w:val="00CE40F8"/>
    <w:rsid w:val="00CE418A"/>
    <w:rsid w:val="00CE5E90"/>
    <w:rsid w:val="00CE6B85"/>
    <w:rsid w:val="00CF078A"/>
    <w:rsid w:val="00CF1E20"/>
    <w:rsid w:val="00CF2791"/>
    <w:rsid w:val="00CF2AF9"/>
    <w:rsid w:val="00CF4602"/>
    <w:rsid w:val="00CF702A"/>
    <w:rsid w:val="00CF714B"/>
    <w:rsid w:val="00CF78AB"/>
    <w:rsid w:val="00CF7FBA"/>
    <w:rsid w:val="00D00662"/>
    <w:rsid w:val="00D01257"/>
    <w:rsid w:val="00D02AD4"/>
    <w:rsid w:val="00D03CDB"/>
    <w:rsid w:val="00D05300"/>
    <w:rsid w:val="00D059E4"/>
    <w:rsid w:val="00D06526"/>
    <w:rsid w:val="00D06E1E"/>
    <w:rsid w:val="00D1017A"/>
    <w:rsid w:val="00D108E7"/>
    <w:rsid w:val="00D116D0"/>
    <w:rsid w:val="00D12353"/>
    <w:rsid w:val="00D12744"/>
    <w:rsid w:val="00D1371D"/>
    <w:rsid w:val="00D140BA"/>
    <w:rsid w:val="00D14F88"/>
    <w:rsid w:val="00D15347"/>
    <w:rsid w:val="00D161FA"/>
    <w:rsid w:val="00D16C83"/>
    <w:rsid w:val="00D17B0B"/>
    <w:rsid w:val="00D17B65"/>
    <w:rsid w:val="00D209E5"/>
    <w:rsid w:val="00D2162F"/>
    <w:rsid w:val="00D22407"/>
    <w:rsid w:val="00D23E69"/>
    <w:rsid w:val="00D24E33"/>
    <w:rsid w:val="00D25C84"/>
    <w:rsid w:val="00D25DFC"/>
    <w:rsid w:val="00D26E30"/>
    <w:rsid w:val="00D303B0"/>
    <w:rsid w:val="00D30F5D"/>
    <w:rsid w:val="00D319CC"/>
    <w:rsid w:val="00D31A3E"/>
    <w:rsid w:val="00D32238"/>
    <w:rsid w:val="00D32308"/>
    <w:rsid w:val="00D33845"/>
    <w:rsid w:val="00D34720"/>
    <w:rsid w:val="00D348F6"/>
    <w:rsid w:val="00D37068"/>
    <w:rsid w:val="00D3709A"/>
    <w:rsid w:val="00D3740C"/>
    <w:rsid w:val="00D43503"/>
    <w:rsid w:val="00D44E0A"/>
    <w:rsid w:val="00D4640B"/>
    <w:rsid w:val="00D46AE1"/>
    <w:rsid w:val="00D46BE7"/>
    <w:rsid w:val="00D47D45"/>
    <w:rsid w:val="00D47FBA"/>
    <w:rsid w:val="00D50114"/>
    <w:rsid w:val="00D51533"/>
    <w:rsid w:val="00D52B5D"/>
    <w:rsid w:val="00D535D8"/>
    <w:rsid w:val="00D5640B"/>
    <w:rsid w:val="00D56F37"/>
    <w:rsid w:val="00D60638"/>
    <w:rsid w:val="00D610DE"/>
    <w:rsid w:val="00D611E2"/>
    <w:rsid w:val="00D617A5"/>
    <w:rsid w:val="00D62ACF"/>
    <w:rsid w:val="00D62B35"/>
    <w:rsid w:val="00D63D32"/>
    <w:rsid w:val="00D64395"/>
    <w:rsid w:val="00D64A47"/>
    <w:rsid w:val="00D65477"/>
    <w:rsid w:val="00D655AC"/>
    <w:rsid w:val="00D655B9"/>
    <w:rsid w:val="00D65B73"/>
    <w:rsid w:val="00D666E0"/>
    <w:rsid w:val="00D66B00"/>
    <w:rsid w:val="00D66B9C"/>
    <w:rsid w:val="00D67026"/>
    <w:rsid w:val="00D70534"/>
    <w:rsid w:val="00D70DD7"/>
    <w:rsid w:val="00D713DC"/>
    <w:rsid w:val="00D725CF"/>
    <w:rsid w:val="00D7299D"/>
    <w:rsid w:val="00D72FF0"/>
    <w:rsid w:val="00D748BE"/>
    <w:rsid w:val="00D76017"/>
    <w:rsid w:val="00D76BF3"/>
    <w:rsid w:val="00D777E8"/>
    <w:rsid w:val="00D8018C"/>
    <w:rsid w:val="00D80502"/>
    <w:rsid w:val="00D80A2D"/>
    <w:rsid w:val="00D82731"/>
    <w:rsid w:val="00D82B1E"/>
    <w:rsid w:val="00D8424E"/>
    <w:rsid w:val="00D846AD"/>
    <w:rsid w:val="00D870F7"/>
    <w:rsid w:val="00D9010E"/>
    <w:rsid w:val="00D919B4"/>
    <w:rsid w:val="00D92503"/>
    <w:rsid w:val="00D95233"/>
    <w:rsid w:val="00D95889"/>
    <w:rsid w:val="00D96809"/>
    <w:rsid w:val="00D97A63"/>
    <w:rsid w:val="00DA0226"/>
    <w:rsid w:val="00DA04CB"/>
    <w:rsid w:val="00DA207A"/>
    <w:rsid w:val="00DA2EA1"/>
    <w:rsid w:val="00DA3293"/>
    <w:rsid w:val="00DA5F4B"/>
    <w:rsid w:val="00DA7176"/>
    <w:rsid w:val="00DA72DA"/>
    <w:rsid w:val="00DA772C"/>
    <w:rsid w:val="00DB0356"/>
    <w:rsid w:val="00DB1004"/>
    <w:rsid w:val="00DB14CC"/>
    <w:rsid w:val="00DB2AFE"/>
    <w:rsid w:val="00DB2CD5"/>
    <w:rsid w:val="00DB2CE9"/>
    <w:rsid w:val="00DB300B"/>
    <w:rsid w:val="00DB31A5"/>
    <w:rsid w:val="00DB5023"/>
    <w:rsid w:val="00DB60C0"/>
    <w:rsid w:val="00DB6DFB"/>
    <w:rsid w:val="00DB7021"/>
    <w:rsid w:val="00DB7F6E"/>
    <w:rsid w:val="00DC00D2"/>
    <w:rsid w:val="00DC08BA"/>
    <w:rsid w:val="00DC0A5E"/>
    <w:rsid w:val="00DC157A"/>
    <w:rsid w:val="00DC221E"/>
    <w:rsid w:val="00DC2278"/>
    <w:rsid w:val="00DC2EAF"/>
    <w:rsid w:val="00DC3089"/>
    <w:rsid w:val="00DC39CD"/>
    <w:rsid w:val="00DC3D16"/>
    <w:rsid w:val="00DC434A"/>
    <w:rsid w:val="00DC59BE"/>
    <w:rsid w:val="00DC5F8E"/>
    <w:rsid w:val="00DC6163"/>
    <w:rsid w:val="00DC6392"/>
    <w:rsid w:val="00DC69CC"/>
    <w:rsid w:val="00DD072E"/>
    <w:rsid w:val="00DD133C"/>
    <w:rsid w:val="00DD1992"/>
    <w:rsid w:val="00DD3710"/>
    <w:rsid w:val="00DD49BC"/>
    <w:rsid w:val="00DD6136"/>
    <w:rsid w:val="00DD6E30"/>
    <w:rsid w:val="00DD7494"/>
    <w:rsid w:val="00DE1C6B"/>
    <w:rsid w:val="00DE2096"/>
    <w:rsid w:val="00DE2461"/>
    <w:rsid w:val="00DE24BC"/>
    <w:rsid w:val="00DE4824"/>
    <w:rsid w:val="00DE4DB1"/>
    <w:rsid w:val="00DE4F8E"/>
    <w:rsid w:val="00DE6634"/>
    <w:rsid w:val="00DE7132"/>
    <w:rsid w:val="00DE795D"/>
    <w:rsid w:val="00DE7FA2"/>
    <w:rsid w:val="00DF0163"/>
    <w:rsid w:val="00DF0427"/>
    <w:rsid w:val="00DF0775"/>
    <w:rsid w:val="00DF0841"/>
    <w:rsid w:val="00DF10DC"/>
    <w:rsid w:val="00DF123A"/>
    <w:rsid w:val="00DF2580"/>
    <w:rsid w:val="00DF2EE3"/>
    <w:rsid w:val="00DF30BB"/>
    <w:rsid w:val="00DF334F"/>
    <w:rsid w:val="00DF380A"/>
    <w:rsid w:val="00DF4EC2"/>
    <w:rsid w:val="00DF5753"/>
    <w:rsid w:val="00DF60E2"/>
    <w:rsid w:val="00DF67C7"/>
    <w:rsid w:val="00DF6D61"/>
    <w:rsid w:val="00E004BC"/>
    <w:rsid w:val="00E025A9"/>
    <w:rsid w:val="00E02BA3"/>
    <w:rsid w:val="00E02E94"/>
    <w:rsid w:val="00E053CD"/>
    <w:rsid w:val="00E0604B"/>
    <w:rsid w:val="00E0607D"/>
    <w:rsid w:val="00E069BE"/>
    <w:rsid w:val="00E070D5"/>
    <w:rsid w:val="00E0788B"/>
    <w:rsid w:val="00E10EF4"/>
    <w:rsid w:val="00E11131"/>
    <w:rsid w:val="00E11945"/>
    <w:rsid w:val="00E11F1D"/>
    <w:rsid w:val="00E124D9"/>
    <w:rsid w:val="00E12591"/>
    <w:rsid w:val="00E137ED"/>
    <w:rsid w:val="00E15A4E"/>
    <w:rsid w:val="00E16CA0"/>
    <w:rsid w:val="00E16D76"/>
    <w:rsid w:val="00E20387"/>
    <w:rsid w:val="00E21260"/>
    <w:rsid w:val="00E220EE"/>
    <w:rsid w:val="00E2300D"/>
    <w:rsid w:val="00E25389"/>
    <w:rsid w:val="00E267D6"/>
    <w:rsid w:val="00E317D7"/>
    <w:rsid w:val="00E31A0F"/>
    <w:rsid w:val="00E33600"/>
    <w:rsid w:val="00E340D6"/>
    <w:rsid w:val="00E3467F"/>
    <w:rsid w:val="00E34A8E"/>
    <w:rsid w:val="00E34FCC"/>
    <w:rsid w:val="00E368B5"/>
    <w:rsid w:val="00E371CE"/>
    <w:rsid w:val="00E3767D"/>
    <w:rsid w:val="00E37F16"/>
    <w:rsid w:val="00E4193B"/>
    <w:rsid w:val="00E437BD"/>
    <w:rsid w:val="00E4510C"/>
    <w:rsid w:val="00E458AE"/>
    <w:rsid w:val="00E45931"/>
    <w:rsid w:val="00E45EAA"/>
    <w:rsid w:val="00E473A1"/>
    <w:rsid w:val="00E475EB"/>
    <w:rsid w:val="00E50235"/>
    <w:rsid w:val="00E51474"/>
    <w:rsid w:val="00E518C7"/>
    <w:rsid w:val="00E521A2"/>
    <w:rsid w:val="00E5353D"/>
    <w:rsid w:val="00E53756"/>
    <w:rsid w:val="00E53BCE"/>
    <w:rsid w:val="00E53FE7"/>
    <w:rsid w:val="00E54393"/>
    <w:rsid w:val="00E54772"/>
    <w:rsid w:val="00E55BF3"/>
    <w:rsid w:val="00E55DD7"/>
    <w:rsid w:val="00E605A8"/>
    <w:rsid w:val="00E6090F"/>
    <w:rsid w:val="00E61DBE"/>
    <w:rsid w:val="00E61FF4"/>
    <w:rsid w:val="00E63E2B"/>
    <w:rsid w:val="00E646D6"/>
    <w:rsid w:val="00E65E76"/>
    <w:rsid w:val="00E6621B"/>
    <w:rsid w:val="00E662FD"/>
    <w:rsid w:val="00E666C7"/>
    <w:rsid w:val="00E66EEB"/>
    <w:rsid w:val="00E70010"/>
    <w:rsid w:val="00E70108"/>
    <w:rsid w:val="00E7031D"/>
    <w:rsid w:val="00E70AF7"/>
    <w:rsid w:val="00E70DFB"/>
    <w:rsid w:val="00E71251"/>
    <w:rsid w:val="00E719C0"/>
    <w:rsid w:val="00E72177"/>
    <w:rsid w:val="00E722A7"/>
    <w:rsid w:val="00E72E57"/>
    <w:rsid w:val="00E72E71"/>
    <w:rsid w:val="00E730E7"/>
    <w:rsid w:val="00E734B8"/>
    <w:rsid w:val="00E73532"/>
    <w:rsid w:val="00E74F43"/>
    <w:rsid w:val="00E754D7"/>
    <w:rsid w:val="00E7555E"/>
    <w:rsid w:val="00E75784"/>
    <w:rsid w:val="00E75E9C"/>
    <w:rsid w:val="00E76A59"/>
    <w:rsid w:val="00E7730E"/>
    <w:rsid w:val="00E773B8"/>
    <w:rsid w:val="00E77572"/>
    <w:rsid w:val="00E77A0A"/>
    <w:rsid w:val="00E81159"/>
    <w:rsid w:val="00E822DB"/>
    <w:rsid w:val="00E82C53"/>
    <w:rsid w:val="00E83F5D"/>
    <w:rsid w:val="00E86FAB"/>
    <w:rsid w:val="00E87159"/>
    <w:rsid w:val="00E871C1"/>
    <w:rsid w:val="00E87392"/>
    <w:rsid w:val="00E876F7"/>
    <w:rsid w:val="00E90983"/>
    <w:rsid w:val="00E90A04"/>
    <w:rsid w:val="00E90A72"/>
    <w:rsid w:val="00E90C62"/>
    <w:rsid w:val="00E92DE9"/>
    <w:rsid w:val="00E92E35"/>
    <w:rsid w:val="00E938E4"/>
    <w:rsid w:val="00E9437C"/>
    <w:rsid w:val="00E94532"/>
    <w:rsid w:val="00E96BE2"/>
    <w:rsid w:val="00E977FF"/>
    <w:rsid w:val="00EA04F6"/>
    <w:rsid w:val="00EA0796"/>
    <w:rsid w:val="00EA2EFE"/>
    <w:rsid w:val="00EA2F5A"/>
    <w:rsid w:val="00EA32F3"/>
    <w:rsid w:val="00EA53ED"/>
    <w:rsid w:val="00EA55AC"/>
    <w:rsid w:val="00EA6840"/>
    <w:rsid w:val="00EA776B"/>
    <w:rsid w:val="00EA7959"/>
    <w:rsid w:val="00EB0411"/>
    <w:rsid w:val="00EB0846"/>
    <w:rsid w:val="00EB0FE6"/>
    <w:rsid w:val="00EB2125"/>
    <w:rsid w:val="00EB27D2"/>
    <w:rsid w:val="00EB3B16"/>
    <w:rsid w:val="00EB3F4E"/>
    <w:rsid w:val="00EB564C"/>
    <w:rsid w:val="00EB6BC5"/>
    <w:rsid w:val="00EB6DDD"/>
    <w:rsid w:val="00EB7398"/>
    <w:rsid w:val="00EB77FE"/>
    <w:rsid w:val="00EB7AE4"/>
    <w:rsid w:val="00EC043C"/>
    <w:rsid w:val="00EC2124"/>
    <w:rsid w:val="00EC4631"/>
    <w:rsid w:val="00EC545D"/>
    <w:rsid w:val="00EC6824"/>
    <w:rsid w:val="00EC6DB1"/>
    <w:rsid w:val="00EC71AA"/>
    <w:rsid w:val="00ED0021"/>
    <w:rsid w:val="00ED145D"/>
    <w:rsid w:val="00ED1E12"/>
    <w:rsid w:val="00ED32C6"/>
    <w:rsid w:val="00ED3D4D"/>
    <w:rsid w:val="00ED4C82"/>
    <w:rsid w:val="00ED51BE"/>
    <w:rsid w:val="00ED5ACA"/>
    <w:rsid w:val="00ED67F3"/>
    <w:rsid w:val="00ED6FF0"/>
    <w:rsid w:val="00ED7F9E"/>
    <w:rsid w:val="00EE256C"/>
    <w:rsid w:val="00EE3274"/>
    <w:rsid w:val="00EE384F"/>
    <w:rsid w:val="00EE3BC5"/>
    <w:rsid w:val="00EE5AFB"/>
    <w:rsid w:val="00EE5E24"/>
    <w:rsid w:val="00EE5F8B"/>
    <w:rsid w:val="00EE6FA8"/>
    <w:rsid w:val="00EE74AE"/>
    <w:rsid w:val="00EF0A44"/>
    <w:rsid w:val="00EF0B8A"/>
    <w:rsid w:val="00EF0F0C"/>
    <w:rsid w:val="00EF1B17"/>
    <w:rsid w:val="00EF22A7"/>
    <w:rsid w:val="00EF2A92"/>
    <w:rsid w:val="00EF2C91"/>
    <w:rsid w:val="00EF59BF"/>
    <w:rsid w:val="00EF5ED5"/>
    <w:rsid w:val="00EF623A"/>
    <w:rsid w:val="00EF666C"/>
    <w:rsid w:val="00F00296"/>
    <w:rsid w:val="00F01017"/>
    <w:rsid w:val="00F01B9E"/>
    <w:rsid w:val="00F01BCE"/>
    <w:rsid w:val="00F024B7"/>
    <w:rsid w:val="00F02AF1"/>
    <w:rsid w:val="00F02BB4"/>
    <w:rsid w:val="00F045F4"/>
    <w:rsid w:val="00F04CEB"/>
    <w:rsid w:val="00F04F82"/>
    <w:rsid w:val="00F05406"/>
    <w:rsid w:val="00F05857"/>
    <w:rsid w:val="00F0786A"/>
    <w:rsid w:val="00F07879"/>
    <w:rsid w:val="00F11FFD"/>
    <w:rsid w:val="00F12EB8"/>
    <w:rsid w:val="00F140FC"/>
    <w:rsid w:val="00F14505"/>
    <w:rsid w:val="00F14BF0"/>
    <w:rsid w:val="00F14E45"/>
    <w:rsid w:val="00F15340"/>
    <w:rsid w:val="00F1544F"/>
    <w:rsid w:val="00F158A5"/>
    <w:rsid w:val="00F173E4"/>
    <w:rsid w:val="00F20057"/>
    <w:rsid w:val="00F24468"/>
    <w:rsid w:val="00F25538"/>
    <w:rsid w:val="00F25A9F"/>
    <w:rsid w:val="00F25DB6"/>
    <w:rsid w:val="00F264C6"/>
    <w:rsid w:val="00F27FB6"/>
    <w:rsid w:val="00F305CF"/>
    <w:rsid w:val="00F306E1"/>
    <w:rsid w:val="00F30843"/>
    <w:rsid w:val="00F30E3F"/>
    <w:rsid w:val="00F31226"/>
    <w:rsid w:val="00F314EE"/>
    <w:rsid w:val="00F31827"/>
    <w:rsid w:val="00F31BBB"/>
    <w:rsid w:val="00F31FAC"/>
    <w:rsid w:val="00F32030"/>
    <w:rsid w:val="00F3277C"/>
    <w:rsid w:val="00F3323D"/>
    <w:rsid w:val="00F34339"/>
    <w:rsid w:val="00F344F5"/>
    <w:rsid w:val="00F34554"/>
    <w:rsid w:val="00F34EE9"/>
    <w:rsid w:val="00F37D3B"/>
    <w:rsid w:val="00F419D1"/>
    <w:rsid w:val="00F41B71"/>
    <w:rsid w:val="00F42027"/>
    <w:rsid w:val="00F42667"/>
    <w:rsid w:val="00F43124"/>
    <w:rsid w:val="00F43E2B"/>
    <w:rsid w:val="00F46641"/>
    <w:rsid w:val="00F47279"/>
    <w:rsid w:val="00F476C9"/>
    <w:rsid w:val="00F47E07"/>
    <w:rsid w:val="00F5070F"/>
    <w:rsid w:val="00F50838"/>
    <w:rsid w:val="00F5135F"/>
    <w:rsid w:val="00F5151A"/>
    <w:rsid w:val="00F517BA"/>
    <w:rsid w:val="00F52C8E"/>
    <w:rsid w:val="00F52DE2"/>
    <w:rsid w:val="00F52E3B"/>
    <w:rsid w:val="00F53135"/>
    <w:rsid w:val="00F53228"/>
    <w:rsid w:val="00F5327F"/>
    <w:rsid w:val="00F53886"/>
    <w:rsid w:val="00F53E2E"/>
    <w:rsid w:val="00F54B38"/>
    <w:rsid w:val="00F553B3"/>
    <w:rsid w:val="00F5551A"/>
    <w:rsid w:val="00F559B9"/>
    <w:rsid w:val="00F559CB"/>
    <w:rsid w:val="00F568CA"/>
    <w:rsid w:val="00F57914"/>
    <w:rsid w:val="00F57DB4"/>
    <w:rsid w:val="00F601BB"/>
    <w:rsid w:val="00F60E3C"/>
    <w:rsid w:val="00F61350"/>
    <w:rsid w:val="00F6145B"/>
    <w:rsid w:val="00F634AB"/>
    <w:rsid w:val="00F63FA1"/>
    <w:rsid w:val="00F65BBF"/>
    <w:rsid w:val="00F67A40"/>
    <w:rsid w:val="00F67D8A"/>
    <w:rsid w:val="00F70488"/>
    <w:rsid w:val="00F70DF4"/>
    <w:rsid w:val="00F70F4D"/>
    <w:rsid w:val="00F711F8"/>
    <w:rsid w:val="00F723C1"/>
    <w:rsid w:val="00F730B4"/>
    <w:rsid w:val="00F73804"/>
    <w:rsid w:val="00F73BBB"/>
    <w:rsid w:val="00F743B4"/>
    <w:rsid w:val="00F748F7"/>
    <w:rsid w:val="00F762D5"/>
    <w:rsid w:val="00F7779C"/>
    <w:rsid w:val="00F779C7"/>
    <w:rsid w:val="00F80E84"/>
    <w:rsid w:val="00F822E3"/>
    <w:rsid w:val="00F823A0"/>
    <w:rsid w:val="00F84467"/>
    <w:rsid w:val="00F85147"/>
    <w:rsid w:val="00F86A6B"/>
    <w:rsid w:val="00F87120"/>
    <w:rsid w:val="00F90113"/>
    <w:rsid w:val="00F90552"/>
    <w:rsid w:val="00F90BA6"/>
    <w:rsid w:val="00F90CF7"/>
    <w:rsid w:val="00F90DDF"/>
    <w:rsid w:val="00F90E07"/>
    <w:rsid w:val="00F91B58"/>
    <w:rsid w:val="00F91B8C"/>
    <w:rsid w:val="00F92222"/>
    <w:rsid w:val="00F92AE9"/>
    <w:rsid w:val="00F9328E"/>
    <w:rsid w:val="00F93A20"/>
    <w:rsid w:val="00F93A7C"/>
    <w:rsid w:val="00F93E9B"/>
    <w:rsid w:val="00F94FD6"/>
    <w:rsid w:val="00F95658"/>
    <w:rsid w:val="00F959F8"/>
    <w:rsid w:val="00F9651D"/>
    <w:rsid w:val="00F9761F"/>
    <w:rsid w:val="00F97DF9"/>
    <w:rsid w:val="00FA19C4"/>
    <w:rsid w:val="00FA2355"/>
    <w:rsid w:val="00FA2373"/>
    <w:rsid w:val="00FA23D4"/>
    <w:rsid w:val="00FA327F"/>
    <w:rsid w:val="00FA3623"/>
    <w:rsid w:val="00FA40F7"/>
    <w:rsid w:val="00FA4F34"/>
    <w:rsid w:val="00FA5762"/>
    <w:rsid w:val="00FA5A4D"/>
    <w:rsid w:val="00FA7C0E"/>
    <w:rsid w:val="00FB1A13"/>
    <w:rsid w:val="00FB1D58"/>
    <w:rsid w:val="00FB275E"/>
    <w:rsid w:val="00FB3060"/>
    <w:rsid w:val="00FB3D9D"/>
    <w:rsid w:val="00FB481A"/>
    <w:rsid w:val="00FB5418"/>
    <w:rsid w:val="00FB5ABF"/>
    <w:rsid w:val="00FB62B7"/>
    <w:rsid w:val="00FB6ABF"/>
    <w:rsid w:val="00FC0A31"/>
    <w:rsid w:val="00FC140D"/>
    <w:rsid w:val="00FC1851"/>
    <w:rsid w:val="00FC26DA"/>
    <w:rsid w:val="00FC2C84"/>
    <w:rsid w:val="00FC2EC0"/>
    <w:rsid w:val="00FC340C"/>
    <w:rsid w:val="00FC34B4"/>
    <w:rsid w:val="00FC397D"/>
    <w:rsid w:val="00FC4D83"/>
    <w:rsid w:val="00FC4F2F"/>
    <w:rsid w:val="00FC504A"/>
    <w:rsid w:val="00FC594B"/>
    <w:rsid w:val="00FC6E09"/>
    <w:rsid w:val="00FC7359"/>
    <w:rsid w:val="00FC7D88"/>
    <w:rsid w:val="00FC7E06"/>
    <w:rsid w:val="00FD03CF"/>
    <w:rsid w:val="00FD19C5"/>
    <w:rsid w:val="00FD2479"/>
    <w:rsid w:val="00FD29B4"/>
    <w:rsid w:val="00FD45D5"/>
    <w:rsid w:val="00FD4ABF"/>
    <w:rsid w:val="00FD53EA"/>
    <w:rsid w:val="00FD5B00"/>
    <w:rsid w:val="00FD5CAB"/>
    <w:rsid w:val="00FD71EA"/>
    <w:rsid w:val="00FD791B"/>
    <w:rsid w:val="00FE081C"/>
    <w:rsid w:val="00FE08E6"/>
    <w:rsid w:val="00FE0E3F"/>
    <w:rsid w:val="00FE114C"/>
    <w:rsid w:val="00FE2210"/>
    <w:rsid w:val="00FE29C6"/>
    <w:rsid w:val="00FE376A"/>
    <w:rsid w:val="00FE3A44"/>
    <w:rsid w:val="00FE3B23"/>
    <w:rsid w:val="00FE3E24"/>
    <w:rsid w:val="00FE4E14"/>
    <w:rsid w:val="00FE5B70"/>
    <w:rsid w:val="00FE6683"/>
    <w:rsid w:val="00FE6ED9"/>
    <w:rsid w:val="00FE7013"/>
    <w:rsid w:val="00FF0283"/>
    <w:rsid w:val="00FF0948"/>
    <w:rsid w:val="00FF12F8"/>
    <w:rsid w:val="00FF35FE"/>
    <w:rsid w:val="00FF397D"/>
    <w:rsid w:val="00FF4BF5"/>
    <w:rsid w:val="00FF54B7"/>
    <w:rsid w:val="00FF54ED"/>
    <w:rsid w:val="00FF553E"/>
    <w:rsid w:val="00FF675D"/>
    <w:rsid w:val="00FF78B6"/>
    <w:rsid w:val="00FF7938"/>
    <w:rsid w:val="00FF7D4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9903FE-7810-4CBD-B6F8-795D6F47B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B527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B0059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5">
    <w:name w:val="heading 5"/>
    <w:basedOn w:val="Normal"/>
    <w:next w:val="Normal"/>
    <w:link w:val="Heading5Char"/>
    <w:uiPriority w:val="9"/>
    <w:semiHidden/>
    <w:unhideWhenUsed/>
    <w:qFormat/>
    <w:rsid w:val="00FC26D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7">
    <w:name w:val="heading 7"/>
    <w:basedOn w:val="Normal"/>
    <w:next w:val="Normal"/>
    <w:link w:val="Heading7Char"/>
    <w:uiPriority w:val="9"/>
    <w:semiHidden/>
    <w:unhideWhenUsed/>
    <w:qFormat/>
    <w:rsid w:val="0010240B"/>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71251"/>
    <w:pPr>
      <w:autoSpaceDE w:val="0"/>
      <w:autoSpaceDN w:val="0"/>
      <w:adjustRightInd w:val="0"/>
      <w:spacing w:after="0" w:line="240" w:lineRule="auto"/>
    </w:pPr>
    <w:rPr>
      <w:rFonts w:ascii="Cambria" w:hAnsi="Cambria" w:cs="Cambria"/>
      <w:color w:val="000000"/>
      <w:sz w:val="24"/>
      <w:szCs w:val="24"/>
    </w:rPr>
  </w:style>
  <w:style w:type="table" w:styleId="TableGrid">
    <w:name w:val="Table Grid"/>
    <w:basedOn w:val="TableNormal"/>
    <w:uiPriority w:val="39"/>
    <w:rsid w:val="00CD45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超级链接,CEO_Hyperlink"/>
    <w:basedOn w:val="DefaultParagraphFont"/>
    <w:unhideWhenUsed/>
    <w:rsid w:val="00177B1F"/>
    <w:rPr>
      <w:color w:val="0000FF"/>
      <w:u w:val="single"/>
    </w:rPr>
  </w:style>
  <w:style w:type="character" w:styleId="FollowedHyperlink">
    <w:name w:val="FollowedHyperlink"/>
    <w:basedOn w:val="DefaultParagraphFont"/>
    <w:uiPriority w:val="99"/>
    <w:semiHidden/>
    <w:unhideWhenUsed/>
    <w:rsid w:val="00177B1F"/>
    <w:rPr>
      <w:color w:val="954F72" w:themeColor="followedHyperlink"/>
      <w:u w:val="single"/>
    </w:rPr>
  </w:style>
  <w:style w:type="paragraph" w:styleId="NormalWeb">
    <w:name w:val="Normal (Web)"/>
    <w:basedOn w:val="Normal"/>
    <w:link w:val="NormalWebChar"/>
    <w:uiPriority w:val="99"/>
    <w:unhideWhenUsed/>
    <w:rsid w:val="0069573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ListParagraph">
    <w:name w:val="List Paragraph"/>
    <w:aliases w:val="NUMBERED PARAGRAPH,List Paragraph 1,List Paragraph (numbered (a)),Use Case List Paragraph,References,ReferencesCxSpLast,lp1,List Paragraph1,Recommendation,List Paragraph11"/>
    <w:basedOn w:val="Normal"/>
    <w:link w:val="ListParagraphChar"/>
    <w:uiPriority w:val="34"/>
    <w:qFormat/>
    <w:rsid w:val="006E6D6B"/>
    <w:pPr>
      <w:ind w:left="720"/>
      <w:contextualSpacing/>
    </w:pPr>
    <w:rPr>
      <w:rFonts w:eastAsia="Batang"/>
      <w:lang w:val="en-US" w:eastAsia="en-US"/>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nhideWhenUsed/>
    <w:rsid w:val="00116AD5"/>
    <w:pPr>
      <w:spacing w:after="0" w:line="240" w:lineRule="auto"/>
    </w:pPr>
    <w:rPr>
      <w:sz w:val="20"/>
      <w:szCs w:val="20"/>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116AD5"/>
    <w:rPr>
      <w:sz w:val="20"/>
      <w:szCs w:val="20"/>
    </w:rPr>
  </w:style>
  <w:style w:type="character" w:styleId="FootnoteReference">
    <w:name w:val="footnote reference"/>
    <w:aliases w:val="Appel note de bas de p,Footnote Reference/,Footnote symbol,Ref,de nota al pie,Footnote,Style 12,(NECG) Footnote Reference,FR,Style 13,Style 124,o,fr,Style 3,Voetnootverwijzing,Times 10 Point,Exposant 3 Point,footnote ref"/>
    <w:basedOn w:val="DefaultParagraphFont"/>
    <w:unhideWhenUsed/>
    <w:rsid w:val="00116AD5"/>
    <w:rPr>
      <w:vertAlign w:val="superscript"/>
    </w:rPr>
  </w:style>
  <w:style w:type="character" w:styleId="Strong">
    <w:name w:val="Strong"/>
    <w:basedOn w:val="DefaultParagraphFont"/>
    <w:uiPriority w:val="22"/>
    <w:qFormat/>
    <w:rsid w:val="00FE3E24"/>
    <w:rPr>
      <w:b/>
      <w:bCs/>
    </w:rPr>
  </w:style>
  <w:style w:type="character" w:styleId="Emphasis">
    <w:name w:val="Emphasis"/>
    <w:basedOn w:val="DefaultParagraphFont"/>
    <w:uiPriority w:val="20"/>
    <w:qFormat/>
    <w:rsid w:val="00394FFF"/>
    <w:rPr>
      <w:i/>
      <w:iCs/>
    </w:rPr>
  </w:style>
  <w:style w:type="character" w:customStyle="1" w:styleId="ng-scope">
    <w:name w:val="ng-scope"/>
    <w:basedOn w:val="DefaultParagraphFont"/>
    <w:rsid w:val="004420B0"/>
  </w:style>
  <w:style w:type="character" w:customStyle="1" w:styleId="Heading2Char">
    <w:name w:val="Heading 2 Char"/>
    <w:basedOn w:val="DefaultParagraphFont"/>
    <w:link w:val="Heading2"/>
    <w:uiPriority w:val="9"/>
    <w:rsid w:val="00B00593"/>
    <w:rPr>
      <w:rFonts w:ascii="Times New Roman" w:eastAsia="Times New Roman" w:hAnsi="Times New Roman" w:cs="Times New Roman"/>
      <w:b/>
      <w:bCs/>
      <w:sz w:val="36"/>
      <w:szCs w:val="36"/>
    </w:rPr>
  </w:style>
  <w:style w:type="character" w:customStyle="1" w:styleId="NormalWebChar">
    <w:name w:val="Normal (Web) Char"/>
    <w:link w:val="NormalWeb"/>
    <w:uiPriority w:val="99"/>
    <w:locked/>
    <w:rsid w:val="00F31226"/>
    <w:rPr>
      <w:rFonts w:ascii="Times New Roman" w:eastAsia="Times New Roman" w:hAnsi="Times New Roman" w:cs="Times New Roman"/>
      <w:sz w:val="24"/>
      <w:szCs w:val="24"/>
      <w:lang w:val="en-US" w:eastAsia="en-US"/>
    </w:rPr>
  </w:style>
  <w:style w:type="paragraph" w:styleId="Header">
    <w:name w:val="header"/>
    <w:aliases w:val="header odd,header entry,HE,h,Header/Footer,页眉"/>
    <w:basedOn w:val="Normal"/>
    <w:link w:val="HeaderChar1"/>
    <w:uiPriority w:val="99"/>
    <w:rsid w:val="00FC7359"/>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18"/>
      <w:szCs w:val="20"/>
      <w:lang w:eastAsia="en-US"/>
    </w:rPr>
  </w:style>
  <w:style w:type="character" w:customStyle="1" w:styleId="HeaderChar">
    <w:name w:val="Header Char"/>
    <w:basedOn w:val="DefaultParagraphFont"/>
    <w:uiPriority w:val="99"/>
    <w:semiHidden/>
    <w:rsid w:val="00FC7359"/>
  </w:style>
  <w:style w:type="character" w:customStyle="1" w:styleId="HeaderChar1">
    <w:name w:val="Header Char1"/>
    <w:aliases w:val="header odd Char,header entry Char,HE Char,h Char,Header/Footer Char,页眉 Char"/>
    <w:basedOn w:val="DefaultParagraphFont"/>
    <w:link w:val="Header"/>
    <w:uiPriority w:val="99"/>
    <w:locked/>
    <w:rsid w:val="00FC7359"/>
    <w:rPr>
      <w:rFonts w:ascii="Times New Roman" w:eastAsia="Times New Roman" w:hAnsi="Times New Roman" w:cs="Times New Roman"/>
      <w:sz w:val="18"/>
      <w:szCs w:val="20"/>
      <w:lang w:eastAsia="en-US"/>
    </w:rPr>
  </w:style>
  <w:style w:type="paragraph" w:styleId="Footer">
    <w:name w:val="footer"/>
    <w:basedOn w:val="Normal"/>
    <w:link w:val="FooterChar"/>
    <w:uiPriority w:val="99"/>
    <w:unhideWhenUsed/>
    <w:rsid w:val="00887C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7CB0"/>
  </w:style>
  <w:style w:type="character" w:customStyle="1" w:styleId="Heading1Char">
    <w:name w:val="Heading 1 Char"/>
    <w:basedOn w:val="DefaultParagraphFont"/>
    <w:link w:val="Heading1"/>
    <w:uiPriority w:val="9"/>
    <w:rsid w:val="007B527E"/>
    <w:rPr>
      <w:rFonts w:asciiTheme="majorHAnsi" w:eastAsiaTheme="majorEastAsia" w:hAnsiTheme="majorHAnsi" w:cstheme="majorBidi"/>
      <w:color w:val="2E74B5" w:themeColor="accent1" w:themeShade="BF"/>
      <w:sz w:val="32"/>
      <w:szCs w:val="32"/>
    </w:rPr>
  </w:style>
  <w:style w:type="character" w:customStyle="1" w:styleId="wp-content-desc">
    <w:name w:val="wp-content-desc"/>
    <w:basedOn w:val="DefaultParagraphFont"/>
    <w:rsid w:val="000E71B1"/>
  </w:style>
  <w:style w:type="paragraph" w:styleId="BalloonText">
    <w:name w:val="Balloon Text"/>
    <w:basedOn w:val="Normal"/>
    <w:link w:val="BalloonTextChar"/>
    <w:uiPriority w:val="99"/>
    <w:semiHidden/>
    <w:unhideWhenUsed/>
    <w:rsid w:val="002B3B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3B02"/>
    <w:rPr>
      <w:rFonts w:ascii="Segoe UI" w:hAnsi="Segoe UI" w:cs="Segoe UI"/>
      <w:sz w:val="18"/>
      <w:szCs w:val="18"/>
    </w:rPr>
  </w:style>
  <w:style w:type="paragraph" w:customStyle="1" w:styleId="Reftext">
    <w:name w:val="Ref_text"/>
    <w:basedOn w:val="Normal"/>
    <w:rsid w:val="00A74EC4"/>
    <w:pPr>
      <w:overflowPunct w:val="0"/>
      <w:autoSpaceDE w:val="0"/>
      <w:autoSpaceDN w:val="0"/>
      <w:adjustRightInd w:val="0"/>
      <w:spacing w:before="120" w:after="0" w:line="240" w:lineRule="auto"/>
      <w:ind w:left="2268" w:hanging="2268"/>
      <w:textAlignment w:val="baseline"/>
    </w:pPr>
    <w:rPr>
      <w:rFonts w:ascii="Times New Roman" w:eastAsia="Times New Roman" w:hAnsi="Times New Roman" w:cs="Times New Roman"/>
      <w:sz w:val="24"/>
      <w:szCs w:val="20"/>
      <w:lang w:eastAsia="en-US"/>
    </w:rPr>
  </w:style>
  <w:style w:type="paragraph" w:customStyle="1" w:styleId="enumlev1">
    <w:name w:val="enumlev1"/>
    <w:basedOn w:val="Normal"/>
    <w:link w:val="enumlev1Char"/>
    <w:qFormat/>
    <w:rsid w:val="00514D69"/>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eastAsia="en-US"/>
    </w:rPr>
  </w:style>
  <w:style w:type="character" w:customStyle="1" w:styleId="enumlev1Char">
    <w:name w:val="enumlev1 Char"/>
    <w:basedOn w:val="DefaultParagraphFont"/>
    <w:link w:val="enumlev1"/>
    <w:rsid w:val="00514D69"/>
    <w:rPr>
      <w:rFonts w:ascii="Times New Roman" w:eastAsia="Times New Roman" w:hAnsi="Times New Roman" w:cs="Times New Roman"/>
      <w:sz w:val="24"/>
      <w:szCs w:val="20"/>
      <w:lang w:eastAsia="en-US"/>
    </w:rPr>
  </w:style>
  <w:style w:type="paragraph" w:styleId="Caption">
    <w:name w:val="caption"/>
    <w:basedOn w:val="Normal"/>
    <w:next w:val="Normal"/>
    <w:uiPriority w:val="35"/>
    <w:unhideWhenUsed/>
    <w:qFormat/>
    <w:rsid w:val="00C44F6C"/>
    <w:pPr>
      <w:spacing w:after="200" w:line="240" w:lineRule="auto"/>
    </w:pPr>
    <w:rPr>
      <w:i/>
      <w:iCs/>
      <w:color w:val="44546A" w:themeColor="text2"/>
      <w:sz w:val="18"/>
      <w:szCs w:val="18"/>
    </w:rPr>
  </w:style>
  <w:style w:type="paragraph" w:styleId="TOC7">
    <w:name w:val="toc 7"/>
    <w:basedOn w:val="TOC4"/>
    <w:semiHidden/>
    <w:rsid w:val="00BE7D8D"/>
    <w:pPr>
      <w:tabs>
        <w:tab w:val="left" w:pos="964"/>
        <w:tab w:val="left" w:leader="dot" w:pos="8789"/>
        <w:tab w:val="right" w:pos="9639"/>
      </w:tabs>
      <w:overflowPunct w:val="0"/>
      <w:autoSpaceDE w:val="0"/>
      <w:autoSpaceDN w:val="0"/>
      <w:adjustRightInd w:val="0"/>
      <w:spacing w:before="80" w:after="0" w:line="240" w:lineRule="auto"/>
      <w:ind w:left="1531" w:right="851" w:hanging="851"/>
      <w:textAlignment w:val="baseline"/>
    </w:pPr>
    <w:rPr>
      <w:rFonts w:ascii="Times New Roman" w:eastAsia="Times New Roman" w:hAnsi="Times New Roman" w:cs="Times New Roman"/>
      <w:sz w:val="24"/>
      <w:szCs w:val="20"/>
      <w:lang w:eastAsia="en-US"/>
    </w:rPr>
  </w:style>
  <w:style w:type="paragraph" w:styleId="TOC4">
    <w:name w:val="toc 4"/>
    <w:basedOn w:val="Normal"/>
    <w:next w:val="Normal"/>
    <w:autoRedefine/>
    <w:uiPriority w:val="39"/>
    <w:semiHidden/>
    <w:unhideWhenUsed/>
    <w:rsid w:val="00BE7D8D"/>
    <w:pPr>
      <w:spacing w:after="100"/>
      <w:ind w:left="660"/>
    </w:pPr>
  </w:style>
  <w:style w:type="paragraph" w:styleId="TOC2">
    <w:name w:val="toc 2"/>
    <w:basedOn w:val="Normal"/>
    <w:next w:val="Normal"/>
    <w:autoRedefine/>
    <w:uiPriority w:val="39"/>
    <w:semiHidden/>
    <w:unhideWhenUsed/>
    <w:rsid w:val="00E473A1"/>
    <w:pPr>
      <w:spacing w:after="100"/>
      <w:ind w:left="220"/>
    </w:pPr>
  </w:style>
  <w:style w:type="character" w:customStyle="1" w:styleId="ms-rtefontsize-1">
    <w:name w:val="ms-rtefontsize-1"/>
    <w:basedOn w:val="DefaultParagraphFont"/>
    <w:rsid w:val="00E34A8E"/>
  </w:style>
  <w:style w:type="character" w:customStyle="1" w:styleId="Heading7Char">
    <w:name w:val="Heading 7 Char"/>
    <w:basedOn w:val="DefaultParagraphFont"/>
    <w:link w:val="Heading7"/>
    <w:rsid w:val="0010240B"/>
    <w:rPr>
      <w:rFonts w:asciiTheme="majorHAnsi" w:eastAsiaTheme="majorEastAsia" w:hAnsiTheme="majorHAnsi" w:cstheme="majorBidi"/>
      <w:i/>
      <w:iCs/>
      <w:color w:val="1F4D78" w:themeColor="accent1" w:themeShade="7F"/>
    </w:rPr>
  </w:style>
  <w:style w:type="character" w:styleId="EndnoteReference">
    <w:name w:val="endnote reference"/>
    <w:basedOn w:val="DefaultParagraphFont"/>
    <w:rsid w:val="004C5ECE"/>
    <w:rPr>
      <w:vertAlign w:val="superscript"/>
    </w:rPr>
  </w:style>
  <w:style w:type="paragraph" w:styleId="EndnoteText">
    <w:name w:val="endnote text"/>
    <w:basedOn w:val="Normal"/>
    <w:link w:val="EndnoteTextChar"/>
    <w:semiHidden/>
    <w:rsid w:val="004C5ECE"/>
    <w:pPr>
      <w:tabs>
        <w:tab w:val="left" w:pos="284"/>
      </w:tabs>
      <w:spacing w:after="0" w:line="240" w:lineRule="auto"/>
      <w:ind w:left="284" w:hanging="284"/>
      <w:jc w:val="both"/>
    </w:pPr>
    <w:rPr>
      <w:rFonts w:ascii="Times New Roman" w:eastAsia="Times New Roman" w:hAnsi="Times New Roman" w:cs="Times New Roman"/>
      <w:sz w:val="18"/>
      <w:szCs w:val="20"/>
      <w:lang w:val="en-US" w:eastAsia="en-US"/>
    </w:rPr>
  </w:style>
  <w:style w:type="character" w:customStyle="1" w:styleId="EndnoteTextChar">
    <w:name w:val="Endnote Text Char"/>
    <w:basedOn w:val="DefaultParagraphFont"/>
    <w:link w:val="EndnoteText"/>
    <w:semiHidden/>
    <w:rsid w:val="004C5ECE"/>
    <w:rPr>
      <w:rFonts w:ascii="Times New Roman" w:eastAsia="Times New Roman" w:hAnsi="Times New Roman" w:cs="Times New Roman"/>
      <w:sz w:val="18"/>
      <w:szCs w:val="20"/>
      <w:lang w:val="en-US" w:eastAsia="en-US"/>
    </w:rPr>
  </w:style>
  <w:style w:type="paragraph" w:customStyle="1" w:styleId="Artheading">
    <w:name w:val="Art_heading"/>
    <w:basedOn w:val="Normal"/>
    <w:next w:val="Normal"/>
    <w:rsid w:val="001E6012"/>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s="Times New Roman"/>
      <w:b/>
      <w:sz w:val="28"/>
      <w:szCs w:val="20"/>
      <w:lang w:eastAsia="en-US"/>
    </w:rPr>
  </w:style>
  <w:style w:type="character" w:customStyle="1" w:styleId="A5">
    <w:name w:val="A5"/>
    <w:uiPriority w:val="99"/>
    <w:rsid w:val="00461EF3"/>
    <w:rPr>
      <w:rFonts w:cs="Calibri Light"/>
      <w:color w:val="000000"/>
      <w:sz w:val="11"/>
      <w:szCs w:val="11"/>
    </w:rPr>
  </w:style>
  <w:style w:type="character" w:customStyle="1" w:styleId="A0">
    <w:name w:val="A0"/>
    <w:uiPriority w:val="99"/>
    <w:rsid w:val="0000712D"/>
    <w:rPr>
      <w:rFonts w:cs="Calibri Light"/>
      <w:color w:val="000000"/>
      <w:sz w:val="21"/>
      <w:szCs w:val="21"/>
    </w:rPr>
  </w:style>
  <w:style w:type="character" w:customStyle="1" w:styleId="ListParagraphChar">
    <w:name w:val="List Paragraph Char"/>
    <w:aliases w:val="NUMBERED PARAGRAPH Char,List Paragraph 1 Char,List Paragraph (numbered (a)) Char,Use Case List Paragraph Char,References Char,ReferencesCxSpLast Char,lp1 Char,List Paragraph1 Char,Recommendation Char,List Paragraph11 Char"/>
    <w:basedOn w:val="DefaultParagraphFont"/>
    <w:link w:val="ListParagraph"/>
    <w:uiPriority w:val="34"/>
    <w:locked/>
    <w:rsid w:val="004B285B"/>
    <w:rPr>
      <w:rFonts w:eastAsia="Batang"/>
      <w:lang w:val="en-US" w:eastAsia="en-US"/>
    </w:rPr>
  </w:style>
  <w:style w:type="character" w:customStyle="1" w:styleId="Heading5Char">
    <w:name w:val="Heading 5 Char"/>
    <w:basedOn w:val="DefaultParagraphFont"/>
    <w:link w:val="Heading5"/>
    <w:rsid w:val="00FC26DA"/>
    <w:rPr>
      <w:rFonts w:asciiTheme="majorHAnsi" w:eastAsiaTheme="majorEastAsia" w:hAnsiTheme="majorHAnsi" w:cstheme="majorBidi"/>
      <w:color w:val="2E74B5" w:themeColor="accent1" w:themeShade="BF"/>
    </w:rPr>
  </w:style>
  <w:style w:type="paragraph" w:customStyle="1" w:styleId="normalWSIS">
    <w:name w:val="normal WSIS"/>
    <w:basedOn w:val="ListParagraph"/>
    <w:link w:val="normalWSISChar"/>
    <w:qFormat/>
    <w:rsid w:val="00B52F38"/>
    <w:pPr>
      <w:numPr>
        <w:numId w:val="13"/>
      </w:numPr>
      <w:tabs>
        <w:tab w:val="left" w:pos="426"/>
      </w:tabs>
      <w:spacing w:before="120" w:after="200" w:line="240" w:lineRule="auto"/>
      <w:contextualSpacing w:val="0"/>
      <w:jc w:val="both"/>
    </w:pPr>
    <w:rPr>
      <w:rFonts w:ascii="Calibri" w:eastAsia="SimSun" w:hAnsi="Calibri" w:cs="Arial"/>
      <w:lang w:eastAsia="zh-CN"/>
    </w:rPr>
  </w:style>
  <w:style w:type="character" w:customStyle="1" w:styleId="normalWSISChar">
    <w:name w:val="normal WSIS Char"/>
    <w:basedOn w:val="DefaultParagraphFont"/>
    <w:link w:val="normalWSIS"/>
    <w:rsid w:val="00B52F38"/>
    <w:rPr>
      <w:rFonts w:ascii="Calibri" w:eastAsia="SimSun" w:hAnsi="Calibri" w:cs="Arial"/>
      <w:lang w:val="en-US"/>
    </w:rPr>
  </w:style>
  <w:style w:type="character" w:customStyle="1" w:styleId="ms-rtethemeforecolor-2-0">
    <w:name w:val="ms-rtethemeforecolor-2-0"/>
    <w:basedOn w:val="DefaultParagraphFont"/>
    <w:rsid w:val="0073727B"/>
  </w:style>
  <w:style w:type="paragraph" w:customStyle="1" w:styleId="NormalITU">
    <w:name w:val="Normal_ITU"/>
    <w:basedOn w:val="Normal"/>
    <w:rsid w:val="00D47FBA"/>
    <w:pPr>
      <w:autoSpaceDE w:val="0"/>
      <w:autoSpaceDN w:val="0"/>
      <w:adjustRightInd w:val="0"/>
      <w:spacing w:before="120" w:after="0" w:line="240" w:lineRule="auto"/>
    </w:pPr>
    <w:rPr>
      <w:rFonts w:ascii="Times New Roman" w:eastAsiaTheme="minorHAnsi" w:hAnsi="Times New Roman" w:cs="Arial"/>
      <w:sz w:val="24"/>
      <w:szCs w:val="20"/>
      <w:lang w:val="en-US" w:eastAsia="en-US"/>
    </w:rPr>
  </w:style>
  <w:style w:type="paragraph" w:customStyle="1" w:styleId="RecNo">
    <w:name w:val="Rec_No"/>
    <w:basedOn w:val="Normal"/>
    <w:next w:val="Normal"/>
    <w:rsid w:val="00F822E3"/>
    <w:pPr>
      <w:keepNext/>
      <w:keepLines/>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hAnsi="Times New Roman" w:cs="Times New Roman"/>
      <w:b/>
      <w:sz w:val="28"/>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0968">
      <w:bodyDiv w:val="1"/>
      <w:marLeft w:val="0"/>
      <w:marRight w:val="0"/>
      <w:marTop w:val="0"/>
      <w:marBottom w:val="0"/>
      <w:divBdr>
        <w:top w:val="none" w:sz="0" w:space="0" w:color="auto"/>
        <w:left w:val="none" w:sz="0" w:space="0" w:color="auto"/>
        <w:bottom w:val="none" w:sz="0" w:space="0" w:color="auto"/>
        <w:right w:val="none" w:sz="0" w:space="0" w:color="auto"/>
      </w:divBdr>
    </w:div>
    <w:div w:id="60104109">
      <w:bodyDiv w:val="1"/>
      <w:marLeft w:val="0"/>
      <w:marRight w:val="0"/>
      <w:marTop w:val="0"/>
      <w:marBottom w:val="0"/>
      <w:divBdr>
        <w:top w:val="none" w:sz="0" w:space="0" w:color="auto"/>
        <w:left w:val="none" w:sz="0" w:space="0" w:color="auto"/>
        <w:bottom w:val="none" w:sz="0" w:space="0" w:color="auto"/>
        <w:right w:val="none" w:sz="0" w:space="0" w:color="auto"/>
      </w:divBdr>
    </w:div>
    <w:div w:id="77141189">
      <w:bodyDiv w:val="1"/>
      <w:marLeft w:val="0"/>
      <w:marRight w:val="0"/>
      <w:marTop w:val="0"/>
      <w:marBottom w:val="0"/>
      <w:divBdr>
        <w:top w:val="none" w:sz="0" w:space="0" w:color="auto"/>
        <w:left w:val="none" w:sz="0" w:space="0" w:color="auto"/>
        <w:bottom w:val="none" w:sz="0" w:space="0" w:color="auto"/>
        <w:right w:val="none" w:sz="0" w:space="0" w:color="auto"/>
      </w:divBdr>
    </w:div>
    <w:div w:id="77600943">
      <w:bodyDiv w:val="1"/>
      <w:marLeft w:val="0"/>
      <w:marRight w:val="0"/>
      <w:marTop w:val="0"/>
      <w:marBottom w:val="0"/>
      <w:divBdr>
        <w:top w:val="none" w:sz="0" w:space="0" w:color="auto"/>
        <w:left w:val="none" w:sz="0" w:space="0" w:color="auto"/>
        <w:bottom w:val="none" w:sz="0" w:space="0" w:color="auto"/>
        <w:right w:val="none" w:sz="0" w:space="0" w:color="auto"/>
      </w:divBdr>
    </w:div>
    <w:div w:id="102961794">
      <w:bodyDiv w:val="1"/>
      <w:marLeft w:val="0"/>
      <w:marRight w:val="0"/>
      <w:marTop w:val="0"/>
      <w:marBottom w:val="0"/>
      <w:divBdr>
        <w:top w:val="none" w:sz="0" w:space="0" w:color="auto"/>
        <w:left w:val="none" w:sz="0" w:space="0" w:color="auto"/>
        <w:bottom w:val="none" w:sz="0" w:space="0" w:color="auto"/>
        <w:right w:val="none" w:sz="0" w:space="0" w:color="auto"/>
      </w:divBdr>
    </w:div>
    <w:div w:id="138807215">
      <w:bodyDiv w:val="1"/>
      <w:marLeft w:val="0"/>
      <w:marRight w:val="0"/>
      <w:marTop w:val="0"/>
      <w:marBottom w:val="0"/>
      <w:divBdr>
        <w:top w:val="none" w:sz="0" w:space="0" w:color="auto"/>
        <w:left w:val="none" w:sz="0" w:space="0" w:color="auto"/>
        <w:bottom w:val="none" w:sz="0" w:space="0" w:color="auto"/>
        <w:right w:val="none" w:sz="0" w:space="0" w:color="auto"/>
      </w:divBdr>
    </w:div>
    <w:div w:id="142745496">
      <w:bodyDiv w:val="1"/>
      <w:marLeft w:val="0"/>
      <w:marRight w:val="0"/>
      <w:marTop w:val="0"/>
      <w:marBottom w:val="0"/>
      <w:divBdr>
        <w:top w:val="none" w:sz="0" w:space="0" w:color="auto"/>
        <w:left w:val="none" w:sz="0" w:space="0" w:color="auto"/>
        <w:bottom w:val="none" w:sz="0" w:space="0" w:color="auto"/>
        <w:right w:val="none" w:sz="0" w:space="0" w:color="auto"/>
      </w:divBdr>
    </w:div>
    <w:div w:id="147551582">
      <w:bodyDiv w:val="1"/>
      <w:marLeft w:val="0"/>
      <w:marRight w:val="0"/>
      <w:marTop w:val="0"/>
      <w:marBottom w:val="0"/>
      <w:divBdr>
        <w:top w:val="none" w:sz="0" w:space="0" w:color="auto"/>
        <w:left w:val="none" w:sz="0" w:space="0" w:color="auto"/>
        <w:bottom w:val="none" w:sz="0" w:space="0" w:color="auto"/>
        <w:right w:val="none" w:sz="0" w:space="0" w:color="auto"/>
      </w:divBdr>
    </w:div>
    <w:div w:id="159780082">
      <w:bodyDiv w:val="1"/>
      <w:marLeft w:val="0"/>
      <w:marRight w:val="0"/>
      <w:marTop w:val="0"/>
      <w:marBottom w:val="0"/>
      <w:divBdr>
        <w:top w:val="none" w:sz="0" w:space="0" w:color="auto"/>
        <w:left w:val="none" w:sz="0" w:space="0" w:color="auto"/>
        <w:bottom w:val="none" w:sz="0" w:space="0" w:color="auto"/>
        <w:right w:val="none" w:sz="0" w:space="0" w:color="auto"/>
      </w:divBdr>
      <w:divsChild>
        <w:div w:id="415903601">
          <w:marLeft w:val="0"/>
          <w:marRight w:val="0"/>
          <w:marTop w:val="0"/>
          <w:marBottom w:val="0"/>
          <w:divBdr>
            <w:top w:val="none" w:sz="0" w:space="0" w:color="auto"/>
            <w:left w:val="none" w:sz="0" w:space="0" w:color="auto"/>
            <w:bottom w:val="none" w:sz="0" w:space="0" w:color="auto"/>
            <w:right w:val="none" w:sz="0" w:space="0" w:color="auto"/>
          </w:divBdr>
        </w:div>
      </w:divsChild>
    </w:div>
    <w:div w:id="221991103">
      <w:bodyDiv w:val="1"/>
      <w:marLeft w:val="0"/>
      <w:marRight w:val="0"/>
      <w:marTop w:val="0"/>
      <w:marBottom w:val="0"/>
      <w:divBdr>
        <w:top w:val="none" w:sz="0" w:space="0" w:color="auto"/>
        <w:left w:val="none" w:sz="0" w:space="0" w:color="auto"/>
        <w:bottom w:val="none" w:sz="0" w:space="0" w:color="auto"/>
        <w:right w:val="none" w:sz="0" w:space="0" w:color="auto"/>
      </w:divBdr>
    </w:div>
    <w:div w:id="246156285">
      <w:bodyDiv w:val="1"/>
      <w:marLeft w:val="0"/>
      <w:marRight w:val="0"/>
      <w:marTop w:val="0"/>
      <w:marBottom w:val="0"/>
      <w:divBdr>
        <w:top w:val="none" w:sz="0" w:space="0" w:color="auto"/>
        <w:left w:val="none" w:sz="0" w:space="0" w:color="auto"/>
        <w:bottom w:val="none" w:sz="0" w:space="0" w:color="auto"/>
        <w:right w:val="none" w:sz="0" w:space="0" w:color="auto"/>
      </w:divBdr>
    </w:div>
    <w:div w:id="275065202">
      <w:bodyDiv w:val="1"/>
      <w:marLeft w:val="0"/>
      <w:marRight w:val="0"/>
      <w:marTop w:val="0"/>
      <w:marBottom w:val="0"/>
      <w:divBdr>
        <w:top w:val="none" w:sz="0" w:space="0" w:color="auto"/>
        <w:left w:val="none" w:sz="0" w:space="0" w:color="auto"/>
        <w:bottom w:val="none" w:sz="0" w:space="0" w:color="auto"/>
        <w:right w:val="none" w:sz="0" w:space="0" w:color="auto"/>
      </w:divBdr>
    </w:div>
    <w:div w:id="340938932">
      <w:bodyDiv w:val="1"/>
      <w:marLeft w:val="0"/>
      <w:marRight w:val="0"/>
      <w:marTop w:val="0"/>
      <w:marBottom w:val="0"/>
      <w:divBdr>
        <w:top w:val="none" w:sz="0" w:space="0" w:color="auto"/>
        <w:left w:val="none" w:sz="0" w:space="0" w:color="auto"/>
        <w:bottom w:val="none" w:sz="0" w:space="0" w:color="auto"/>
        <w:right w:val="none" w:sz="0" w:space="0" w:color="auto"/>
      </w:divBdr>
    </w:div>
    <w:div w:id="402022239">
      <w:bodyDiv w:val="1"/>
      <w:marLeft w:val="0"/>
      <w:marRight w:val="0"/>
      <w:marTop w:val="0"/>
      <w:marBottom w:val="0"/>
      <w:divBdr>
        <w:top w:val="none" w:sz="0" w:space="0" w:color="auto"/>
        <w:left w:val="none" w:sz="0" w:space="0" w:color="auto"/>
        <w:bottom w:val="none" w:sz="0" w:space="0" w:color="auto"/>
        <w:right w:val="none" w:sz="0" w:space="0" w:color="auto"/>
      </w:divBdr>
      <w:divsChild>
        <w:div w:id="1417364102">
          <w:marLeft w:val="0"/>
          <w:marRight w:val="0"/>
          <w:marTop w:val="0"/>
          <w:marBottom w:val="0"/>
          <w:divBdr>
            <w:top w:val="none" w:sz="0" w:space="0" w:color="auto"/>
            <w:left w:val="none" w:sz="0" w:space="0" w:color="auto"/>
            <w:bottom w:val="none" w:sz="0" w:space="0" w:color="auto"/>
            <w:right w:val="none" w:sz="0" w:space="0" w:color="auto"/>
          </w:divBdr>
          <w:divsChild>
            <w:div w:id="346370077">
              <w:marLeft w:val="0"/>
              <w:marRight w:val="0"/>
              <w:marTop w:val="0"/>
              <w:marBottom w:val="0"/>
              <w:divBdr>
                <w:top w:val="none" w:sz="0" w:space="0" w:color="auto"/>
                <w:left w:val="none" w:sz="0" w:space="0" w:color="auto"/>
                <w:bottom w:val="none" w:sz="0" w:space="0" w:color="auto"/>
                <w:right w:val="none" w:sz="0" w:space="0" w:color="auto"/>
              </w:divBdr>
              <w:divsChild>
                <w:div w:id="221911542">
                  <w:marLeft w:val="0"/>
                  <w:marRight w:val="0"/>
                  <w:marTop w:val="0"/>
                  <w:marBottom w:val="0"/>
                  <w:divBdr>
                    <w:top w:val="none" w:sz="0" w:space="0" w:color="auto"/>
                    <w:left w:val="none" w:sz="0" w:space="0" w:color="auto"/>
                    <w:bottom w:val="none" w:sz="0" w:space="0" w:color="auto"/>
                    <w:right w:val="none" w:sz="0" w:space="0" w:color="auto"/>
                  </w:divBdr>
                  <w:divsChild>
                    <w:div w:id="137964300">
                      <w:marLeft w:val="0"/>
                      <w:marRight w:val="0"/>
                      <w:marTop w:val="0"/>
                      <w:marBottom w:val="0"/>
                      <w:divBdr>
                        <w:top w:val="none" w:sz="0" w:space="0" w:color="auto"/>
                        <w:left w:val="none" w:sz="0" w:space="0" w:color="auto"/>
                        <w:bottom w:val="none" w:sz="0" w:space="0" w:color="auto"/>
                        <w:right w:val="none" w:sz="0" w:space="0" w:color="auto"/>
                      </w:divBdr>
                      <w:divsChild>
                        <w:div w:id="546256160">
                          <w:marLeft w:val="0"/>
                          <w:marRight w:val="0"/>
                          <w:marTop w:val="0"/>
                          <w:marBottom w:val="0"/>
                          <w:divBdr>
                            <w:top w:val="none" w:sz="0" w:space="0" w:color="auto"/>
                            <w:left w:val="none" w:sz="0" w:space="0" w:color="auto"/>
                            <w:bottom w:val="none" w:sz="0" w:space="0" w:color="auto"/>
                            <w:right w:val="none" w:sz="0" w:space="0" w:color="auto"/>
                          </w:divBdr>
                          <w:divsChild>
                            <w:div w:id="225922284">
                              <w:marLeft w:val="0"/>
                              <w:marRight w:val="0"/>
                              <w:marTop w:val="0"/>
                              <w:marBottom w:val="0"/>
                              <w:divBdr>
                                <w:top w:val="none" w:sz="0" w:space="0" w:color="auto"/>
                                <w:left w:val="none" w:sz="0" w:space="0" w:color="auto"/>
                                <w:bottom w:val="none" w:sz="0" w:space="0" w:color="auto"/>
                                <w:right w:val="none" w:sz="0" w:space="0" w:color="auto"/>
                              </w:divBdr>
                              <w:divsChild>
                                <w:div w:id="156560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9642548">
      <w:bodyDiv w:val="1"/>
      <w:marLeft w:val="0"/>
      <w:marRight w:val="0"/>
      <w:marTop w:val="0"/>
      <w:marBottom w:val="0"/>
      <w:divBdr>
        <w:top w:val="none" w:sz="0" w:space="0" w:color="auto"/>
        <w:left w:val="none" w:sz="0" w:space="0" w:color="auto"/>
        <w:bottom w:val="none" w:sz="0" w:space="0" w:color="auto"/>
        <w:right w:val="none" w:sz="0" w:space="0" w:color="auto"/>
      </w:divBdr>
      <w:divsChild>
        <w:div w:id="1585842790">
          <w:marLeft w:val="0"/>
          <w:marRight w:val="0"/>
          <w:marTop w:val="0"/>
          <w:marBottom w:val="0"/>
          <w:divBdr>
            <w:top w:val="none" w:sz="0" w:space="0" w:color="auto"/>
            <w:left w:val="none" w:sz="0" w:space="0" w:color="auto"/>
            <w:bottom w:val="none" w:sz="0" w:space="0" w:color="auto"/>
            <w:right w:val="none" w:sz="0" w:space="0" w:color="auto"/>
          </w:divBdr>
        </w:div>
        <w:div w:id="1810971611">
          <w:marLeft w:val="0"/>
          <w:marRight w:val="0"/>
          <w:marTop w:val="0"/>
          <w:marBottom w:val="0"/>
          <w:divBdr>
            <w:top w:val="none" w:sz="0" w:space="0" w:color="auto"/>
            <w:left w:val="none" w:sz="0" w:space="0" w:color="auto"/>
            <w:bottom w:val="none" w:sz="0" w:space="0" w:color="auto"/>
            <w:right w:val="none" w:sz="0" w:space="0" w:color="auto"/>
          </w:divBdr>
        </w:div>
        <w:div w:id="1584142225">
          <w:marLeft w:val="0"/>
          <w:marRight w:val="0"/>
          <w:marTop w:val="0"/>
          <w:marBottom w:val="0"/>
          <w:divBdr>
            <w:top w:val="none" w:sz="0" w:space="0" w:color="auto"/>
            <w:left w:val="none" w:sz="0" w:space="0" w:color="auto"/>
            <w:bottom w:val="none" w:sz="0" w:space="0" w:color="auto"/>
            <w:right w:val="none" w:sz="0" w:space="0" w:color="auto"/>
          </w:divBdr>
        </w:div>
        <w:div w:id="900411937">
          <w:marLeft w:val="0"/>
          <w:marRight w:val="0"/>
          <w:marTop w:val="0"/>
          <w:marBottom w:val="0"/>
          <w:divBdr>
            <w:top w:val="none" w:sz="0" w:space="0" w:color="auto"/>
            <w:left w:val="none" w:sz="0" w:space="0" w:color="auto"/>
            <w:bottom w:val="none" w:sz="0" w:space="0" w:color="auto"/>
            <w:right w:val="none" w:sz="0" w:space="0" w:color="auto"/>
          </w:divBdr>
        </w:div>
        <w:div w:id="634601805">
          <w:marLeft w:val="0"/>
          <w:marRight w:val="0"/>
          <w:marTop w:val="0"/>
          <w:marBottom w:val="0"/>
          <w:divBdr>
            <w:top w:val="none" w:sz="0" w:space="0" w:color="auto"/>
            <w:left w:val="none" w:sz="0" w:space="0" w:color="auto"/>
            <w:bottom w:val="none" w:sz="0" w:space="0" w:color="auto"/>
            <w:right w:val="none" w:sz="0" w:space="0" w:color="auto"/>
          </w:divBdr>
        </w:div>
        <w:div w:id="822964864">
          <w:marLeft w:val="0"/>
          <w:marRight w:val="0"/>
          <w:marTop w:val="0"/>
          <w:marBottom w:val="0"/>
          <w:divBdr>
            <w:top w:val="none" w:sz="0" w:space="0" w:color="auto"/>
            <w:left w:val="none" w:sz="0" w:space="0" w:color="auto"/>
            <w:bottom w:val="none" w:sz="0" w:space="0" w:color="auto"/>
            <w:right w:val="none" w:sz="0" w:space="0" w:color="auto"/>
          </w:divBdr>
        </w:div>
        <w:div w:id="1022517120">
          <w:marLeft w:val="0"/>
          <w:marRight w:val="0"/>
          <w:marTop w:val="0"/>
          <w:marBottom w:val="0"/>
          <w:divBdr>
            <w:top w:val="none" w:sz="0" w:space="0" w:color="auto"/>
            <w:left w:val="none" w:sz="0" w:space="0" w:color="auto"/>
            <w:bottom w:val="none" w:sz="0" w:space="0" w:color="auto"/>
            <w:right w:val="none" w:sz="0" w:space="0" w:color="auto"/>
          </w:divBdr>
        </w:div>
        <w:div w:id="1432816204">
          <w:marLeft w:val="0"/>
          <w:marRight w:val="0"/>
          <w:marTop w:val="0"/>
          <w:marBottom w:val="0"/>
          <w:divBdr>
            <w:top w:val="none" w:sz="0" w:space="0" w:color="auto"/>
            <w:left w:val="none" w:sz="0" w:space="0" w:color="auto"/>
            <w:bottom w:val="none" w:sz="0" w:space="0" w:color="auto"/>
            <w:right w:val="none" w:sz="0" w:space="0" w:color="auto"/>
          </w:divBdr>
        </w:div>
        <w:div w:id="62413898">
          <w:marLeft w:val="0"/>
          <w:marRight w:val="0"/>
          <w:marTop w:val="0"/>
          <w:marBottom w:val="0"/>
          <w:divBdr>
            <w:top w:val="none" w:sz="0" w:space="0" w:color="auto"/>
            <w:left w:val="none" w:sz="0" w:space="0" w:color="auto"/>
            <w:bottom w:val="none" w:sz="0" w:space="0" w:color="auto"/>
            <w:right w:val="none" w:sz="0" w:space="0" w:color="auto"/>
          </w:divBdr>
        </w:div>
        <w:div w:id="717513859">
          <w:marLeft w:val="0"/>
          <w:marRight w:val="0"/>
          <w:marTop w:val="0"/>
          <w:marBottom w:val="0"/>
          <w:divBdr>
            <w:top w:val="none" w:sz="0" w:space="0" w:color="auto"/>
            <w:left w:val="none" w:sz="0" w:space="0" w:color="auto"/>
            <w:bottom w:val="none" w:sz="0" w:space="0" w:color="auto"/>
            <w:right w:val="none" w:sz="0" w:space="0" w:color="auto"/>
          </w:divBdr>
        </w:div>
        <w:div w:id="621569367">
          <w:marLeft w:val="0"/>
          <w:marRight w:val="0"/>
          <w:marTop w:val="0"/>
          <w:marBottom w:val="0"/>
          <w:divBdr>
            <w:top w:val="none" w:sz="0" w:space="0" w:color="auto"/>
            <w:left w:val="none" w:sz="0" w:space="0" w:color="auto"/>
            <w:bottom w:val="none" w:sz="0" w:space="0" w:color="auto"/>
            <w:right w:val="none" w:sz="0" w:space="0" w:color="auto"/>
          </w:divBdr>
        </w:div>
        <w:div w:id="1312564387">
          <w:marLeft w:val="0"/>
          <w:marRight w:val="0"/>
          <w:marTop w:val="0"/>
          <w:marBottom w:val="0"/>
          <w:divBdr>
            <w:top w:val="none" w:sz="0" w:space="0" w:color="auto"/>
            <w:left w:val="none" w:sz="0" w:space="0" w:color="auto"/>
            <w:bottom w:val="none" w:sz="0" w:space="0" w:color="auto"/>
            <w:right w:val="none" w:sz="0" w:space="0" w:color="auto"/>
          </w:divBdr>
        </w:div>
        <w:div w:id="286932278">
          <w:marLeft w:val="0"/>
          <w:marRight w:val="0"/>
          <w:marTop w:val="0"/>
          <w:marBottom w:val="0"/>
          <w:divBdr>
            <w:top w:val="none" w:sz="0" w:space="0" w:color="auto"/>
            <w:left w:val="none" w:sz="0" w:space="0" w:color="auto"/>
            <w:bottom w:val="none" w:sz="0" w:space="0" w:color="auto"/>
            <w:right w:val="none" w:sz="0" w:space="0" w:color="auto"/>
          </w:divBdr>
        </w:div>
        <w:div w:id="1329022294">
          <w:marLeft w:val="0"/>
          <w:marRight w:val="0"/>
          <w:marTop w:val="0"/>
          <w:marBottom w:val="0"/>
          <w:divBdr>
            <w:top w:val="none" w:sz="0" w:space="0" w:color="auto"/>
            <w:left w:val="none" w:sz="0" w:space="0" w:color="auto"/>
            <w:bottom w:val="none" w:sz="0" w:space="0" w:color="auto"/>
            <w:right w:val="none" w:sz="0" w:space="0" w:color="auto"/>
          </w:divBdr>
        </w:div>
        <w:div w:id="341978284">
          <w:marLeft w:val="0"/>
          <w:marRight w:val="0"/>
          <w:marTop w:val="0"/>
          <w:marBottom w:val="0"/>
          <w:divBdr>
            <w:top w:val="none" w:sz="0" w:space="0" w:color="auto"/>
            <w:left w:val="none" w:sz="0" w:space="0" w:color="auto"/>
            <w:bottom w:val="none" w:sz="0" w:space="0" w:color="auto"/>
            <w:right w:val="none" w:sz="0" w:space="0" w:color="auto"/>
          </w:divBdr>
        </w:div>
        <w:div w:id="1353846285">
          <w:marLeft w:val="0"/>
          <w:marRight w:val="0"/>
          <w:marTop w:val="0"/>
          <w:marBottom w:val="0"/>
          <w:divBdr>
            <w:top w:val="none" w:sz="0" w:space="0" w:color="auto"/>
            <w:left w:val="none" w:sz="0" w:space="0" w:color="auto"/>
            <w:bottom w:val="none" w:sz="0" w:space="0" w:color="auto"/>
            <w:right w:val="none" w:sz="0" w:space="0" w:color="auto"/>
          </w:divBdr>
        </w:div>
        <w:div w:id="368383278">
          <w:marLeft w:val="0"/>
          <w:marRight w:val="0"/>
          <w:marTop w:val="0"/>
          <w:marBottom w:val="0"/>
          <w:divBdr>
            <w:top w:val="none" w:sz="0" w:space="0" w:color="auto"/>
            <w:left w:val="none" w:sz="0" w:space="0" w:color="auto"/>
            <w:bottom w:val="none" w:sz="0" w:space="0" w:color="auto"/>
            <w:right w:val="none" w:sz="0" w:space="0" w:color="auto"/>
          </w:divBdr>
        </w:div>
      </w:divsChild>
    </w:div>
    <w:div w:id="458574957">
      <w:bodyDiv w:val="1"/>
      <w:marLeft w:val="0"/>
      <w:marRight w:val="0"/>
      <w:marTop w:val="0"/>
      <w:marBottom w:val="0"/>
      <w:divBdr>
        <w:top w:val="none" w:sz="0" w:space="0" w:color="auto"/>
        <w:left w:val="none" w:sz="0" w:space="0" w:color="auto"/>
        <w:bottom w:val="none" w:sz="0" w:space="0" w:color="auto"/>
        <w:right w:val="none" w:sz="0" w:space="0" w:color="auto"/>
      </w:divBdr>
      <w:divsChild>
        <w:div w:id="1399328723">
          <w:marLeft w:val="0"/>
          <w:marRight w:val="0"/>
          <w:marTop w:val="0"/>
          <w:marBottom w:val="0"/>
          <w:divBdr>
            <w:top w:val="none" w:sz="0" w:space="0" w:color="auto"/>
            <w:left w:val="none" w:sz="0" w:space="0" w:color="auto"/>
            <w:bottom w:val="none" w:sz="0" w:space="0" w:color="auto"/>
            <w:right w:val="none" w:sz="0" w:space="0" w:color="auto"/>
          </w:divBdr>
        </w:div>
      </w:divsChild>
    </w:div>
    <w:div w:id="469908559">
      <w:bodyDiv w:val="1"/>
      <w:marLeft w:val="0"/>
      <w:marRight w:val="0"/>
      <w:marTop w:val="0"/>
      <w:marBottom w:val="0"/>
      <w:divBdr>
        <w:top w:val="none" w:sz="0" w:space="0" w:color="auto"/>
        <w:left w:val="none" w:sz="0" w:space="0" w:color="auto"/>
        <w:bottom w:val="none" w:sz="0" w:space="0" w:color="auto"/>
        <w:right w:val="none" w:sz="0" w:space="0" w:color="auto"/>
      </w:divBdr>
    </w:div>
    <w:div w:id="503328634">
      <w:bodyDiv w:val="1"/>
      <w:marLeft w:val="0"/>
      <w:marRight w:val="0"/>
      <w:marTop w:val="0"/>
      <w:marBottom w:val="0"/>
      <w:divBdr>
        <w:top w:val="none" w:sz="0" w:space="0" w:color="auto"/>
        <w:left w:val="none" w:sz="0" w:space="0" w:color="auto"/>
        <w:bottom w:val="none" w:sz="0" w:space="0" w:color="auto"/>
        <w:right w:val="none" w:sz="0" w:space="0" w:color="auto"/>
      </w:divBdr>
    </w:div>
    <w:div w:id="554239965">
      <w:bodyDiv w:val="1"/>
      <w:marLeft w:val="0"/>
      <w:marRight w:val="0"/>
      <w:marTop w:val="0"/>
      <w:marBottom w:val="0"/>
      <w:divBdr>
        <w:top w:val="none" w:sz="0" w:space="0" w:color="auto"/>
        <w:left w:val="none" w:sz="0" w:space="0" w:color="auto"/>
        <w:bottom w:val="none" w:sz="0" w:space="0" w:color="auto"/>
        <w:right w:val="none" w:sz="0" w:space="0" w:color="auto"/>
      </w:divBdr>
    </w:div>
    <w:div w:id="562717928">
      <w:bodyDiv w:val="1"/>
      <w:marLeft w:val="0"/>
      <w:marRight w:val="0"/>
      <w:marTop w:val="0"/>
      <w:marBottom w:val="0"/>
      <w:divBdr>
        <w:top w:val="none" w:sz="0" w:space="0" w:color="auto"/>
        <w:left w:val="none" w:sz="0" w:space="0" w:color="auto"/>
        <w:bottom w:val="none" w:sz="0" w:space="0" w:color="auto"/>
        <w:right w:val="none" w:sz="0" w:space="0" w:color="auto"/>
      </w:divBdr>
    </w:div>
    <w:div w:id="596640630">
      <w:bodyDiv w:val="1"/>
      <w:marLeft w:val="0"/>
      <w:marRight w:val="0"/>
      <w:marTop w:val="0"/>
      <w:marBottom w:val="0"/>
      <w:divBdr>
        <w:top w:val="none" w:sz="0" w:space="0" w:color="auto"/>
        <w:left w:val="none" w:sz="0" w:space="0" w:color="auto"/>
        <w:bottom w:val="none" w:sz="0" w:space="0" w:color="auto"/>
        <w:right w:val="none" w:sz="0" w:space="0" w:color="auto"/>
      </w:divBdr>
      <w:divsChild>
        <w:div w:id="300424158">
          <w:marLeft w:val="0"/>
          <w:marRight w:val="0"/>
          <w:marTop w:val="0"/>
          <w:marBottom w:val="0"/>
          <w:divBdr>
            <w:top w:val="none" w:sz="0" w:space="0" w:color="auto"/>
            <w:left w:val="none" w:sz="0" w:space="0" w:color="auto"/>
            <w:bottom w:val="none" w:sz="0" w:space="0" w:color="auto"/>
            <w:right w:val="none" w:sz="0" w:space="0" w:color="auto"/>
          </w:divBdr>
        </w:div>
        <w:div w:id="535002912">
          <w:marLeft w:val="0"/>
          <w:marRight w:val="0"/>
          <w:marTop w:val="0"/>
          <w:marBottom w:val="0"/>
          <w:divBdr>
            <w:top w:val="none" w:sz="0" w:space="0" w:color="auto"/>
            <w:left w:val="none" w:sz="0" w:space="0" w:color="auto"/>
            <w:bottom w:val="none" w:sz="0" w:space="0" w:color="auto"/>
            <w:right w:val="none" w:sz="0" w:space="0" w:color="auto"/>
          </w:divBdr>
        </w:div>
      </w:divsChild>
    </w:div>
    <w:div w:id="607781468">
      <w:bodyDiv w:val="1"/>
      <w:marLeft w:val="0"/>
      <w:marRight w:val="0"/>
      <w:marTop w:val="0"/>
      <w:marBottom w:val="0"/>
      <w:divBdr>
        <w:top w:val="none" w:sz="0" w:space="0" w:color="auto"/>
        <w:left w:val="none" w:sz="0" w:space="0" w:color="auto"/>
        <w:bottom w:val="none" w:sz="0" w:space="0" w:color="auto"/>
        <w:right w:val="none" w:sz="0" w:space="0" w:color="auto"/>
      </w:divBdr>
      <w:divsChild>
        <w:div w:id="1351640421">
          <w:marLeft w:val="0"/>
          <w:marRight w:val="0"/>
          <w:marTop w:val="0"/>
          <w:marBottom w:val="0"/>
          <w:divBdr>
            <w:top w:val="none" w:sz="0" w:space="0" w:color="auto"/>
            <w:left w:val="none" w:sz="0" w:space="0" w:color="auto"/>
            <w:bottom w:val="none" w:sz="0" w:space="0" w:color="auto"/>
            <w:right w:val="none" w:sz="0" w:space="0" w:color="auto"/>
          </w:divBdr>
        </w:div>
        <w:div w:id="1734618781">
          <w:marLeft w:val="0"/>
          <w:marRight w:val="0"/>
          <w:marTop w:val="0"/>
          <w:marBottom w:val="0"/>
          <w:divBdr>
            <w:top w:val="none" w:sz="0" w:space="0" w:color="auto"/>
            <w:left w:val="none" w:sz="0" w:space="0" w:color="auto"/>
            <w:bottom w:val="none" w:sz="0" w:space="0" w:color="auto"/>
            <w:right w:val="none" w:sz="0" w:space="0" w:color="auto"/>
          </w:divBdr>
        </w:div>
        <w:div w:id="1523401148">
          <w:marLeft w:val="0"/>
          <w:marRight w:val="0"/>
          <w:marTop w:val="0"/>
          <w:marBottom w:val="0"/>
          <w:divBdr>
            <w:top w:val="none" w:sz="0" w:space="0" w:color="auto"/>
            <w:left w:val="none" w:sz="0" w:space="0" w:color="auto"/>
            <w:bottom w:val="none" w:sz="0" w:space="0" w:color="auto"/>
            <w:right w:val="none" w:sz="0" w:space="0" w:color="auto"/>
          </w:divBdr>
        </w:div>
        <w:div w:id="1820002575">
          <w:marLeft w:val="0"/>
          <w:marRight w:val="0"/>
          <w:marTop w:val="0"/>
          <w:marBottom w:val="0"/>
          <w:divBdr>
            <w:top w:val="none" w:sz="0" w:space="0" w:color="auto"/>
            <w:left w:val="none" w:sz="0" w:space="0" w:color="auto"/>
            <w:bottom w:val="none" w:sz="0" w:space="0" w:color="auto"/>
            <w:right w:val="none" w:sz="0" w:space="0" w:color="auto"/>
          </w:divBdr>
        </w:div>
        <w:div w:id="326860571">
          <w:marLeft w:val="0"/>
          <w:marRight w:val="0"/>
          <w:marTop w:val="0"/>
          <w:marBottom w:val="0"/>
          <w:divBdr>
            <w:top w:val="none" w:sz="0" w:space="0" w:color="auto"/>
            <w:left w:val="none" w:sz="0" w:space="0" w:color="auto"/>
            <w:bottom w:val="none" w:sz="0" w:space="0" w:color="auto"/>
            <w:right w:val="none" w:sz="0" w:space="0" w:color="auto"/>
          </w:divBdr>
        </w:div>
        <w:div w:id="1305936073">
          <w:marLeft w:val="0"/>
          <w:marRight w:val="0"/>
          <w:marTop w:val="0"/>
          <w:marBottom w:val="0"/>
          <w:divBdr>
            <w:top w:val="none" w:sz="0" w:space="0" w:color="auto"/>
            <w:left w:val="none" w:sz="0" w:space="0" w:color="auto"/>
            <w:bottom w:val="none" w:sz="0" w:space="0" w:color="auto"/>
            <w:right w:val="none" w:sz="0" w:space="0" w:color="auto"/>
          </w:divBdr>
        </w:div>
        <w:div w:id="624236747">
          <w:marLeft w:val="0"/>
          <w:marRight w:val="0"/>
          <w:marTop w:val="0"/>
          <w:marBottom w:val="0"/>
          <w:divBdr>
            <w:top w:val="none" w:sz="0" w:space="0" w:color="auto"/>
            <w:left w:val="none" w:sz="0" w:space="0" w:color="auto"/>
            <w:bottom w:val="none" w:sz="0" w:space="0" w:color="auto"/>
            <w:right w:val="none" w:sz="0" w:space="0" w:color="auto"/>
          </w:divBdr>
        </w:div>
        <w:div w:id="1080638922">
          <w:marLeft w:val="0"/>
          <w:marRight w:val="0"/>
          <w:marTop w:val="0"/>
          <w:marBottom w:val="0"/>
          <w:divBdr>
            <w:top w:val="none" w:sz="0" w:space="0" w:color="auto"/>
            <w:left w:val="none" w:sz="0" w:space="0" w:color="auto"/>
            <w:bottom w:val="none" w:sz="0" w:space="0" w:color="auto"/>
            <w:right w:val="none" w:sz="0" w:space="0" w:color="auto"/>
          </w:divBdr>
        </w:div>
        <w:div w:id="304968858">
          <w:marLeft w:val="0"/>
          <w:marRight w:val="0"/>
          <w:marTop w:val="0"/>
          <w:marBottom w:val="0"/>
          <w:divBdr>
            <w:top w:val="none" w:sz="0" w:space="0" w:color="auto"/>
            <w:left w:val="none" w:sz="0" w:space="0" w:color="auto"/>
            <w:bottom w:val="none" w:sz="0" w:space="0" w:color="auto"/>
            <w:right w:val="none" w:sz="0" w:space="0" w:color="auto"/>
          </w:divBdr>
        </w:div>
        <w:div w:id="1351418750">
          <w:marLeft w:val="0"/>
          <w:marRight w:val="0"/>
          <w:marTop w:val="0"/>
          <w:marBottom w:val="0"/>
          <w:divBdr>
            <w:top w:val="none" w:sz="0" w:space="0" w:color="auto"/>
            <w:left w:val="none" w:sz="0" w:space="0" w:color="auto"/>
            <w:bottom w:val="none" w:sz="0" w:space="0" w:color="auto"/>
            <w:right w:val="none" w:sz="0" w:space="0" w:color="auto"/>
          </w:divBdr>
        </w:div>
        <w:div w:id="1982692239">
          <w:marLeft w:val="0"/>
          <w:marRight w:val="0"/>
          <w:marTop w:val="0"/>
          <w:marBottom w:val="0"/>
          <w:divBdr>
            <w:top w:val="none" w:sz="0" w:space="0" w:color="auto"/>
            <w:left w:val="none" w:sz="0" w:space="0" w:color="auto"/>
            <w:bottom w:val="none" w:sz="0" w:space="0" w:color="auto"/>
            <w:right w:val="none" w:sz="0" w:space="0" w:color="auto"/>
          </w:divBdr>
        </w:div>
        <w:div w:id="923879700">
          <w:marLeft w:val="0"/>
          <w:marRight w:val="0"/>
          <w:marTop w:val="0"/>
          <w:marBottom w:val="0"/>
          <w:divBdr>
            <w:top w:val="none" w:sz="0" w:space="0" w:color="auto"/>
            <w:left w:val="none" w:sz="0" w:space="0" w:color="auto"/>
            <w:bottom w:val="none" w:sz="0" w:space="0" w:color="auto"/>
            <w:right w:val="none" w:sz="0" w:space="0" w:color="auto"/>
          </w:divBdr>
        </w:div>
      </w:divsChild>
    </w:div>
    <w:div w:id="624582899">
      <w:bodyDiv w:val="1"/>
      <w:marLeft w:val="0"/>
      <w:marRight w:val="0"/>
      <w:marTop w:val="0"/>
      <w:marBottom w:val="0"/>
      <w:divBdr>
        <w:top w:val="none" w:sz="0" w:space="0" w:color="auto"/>
        <w:left w:val="none" w:sz="0" w:space="0" w:color="auto"/>
        <w:bottom w:val="none" w:sz="0" w:space="0" w:color="auto"/>
        <w:right w:val="none" w:sz="0" w:space="0" w:color="auto"/>
      </w:divBdr>
      <w:divsChild>
        <w:div w:id="430783563">
          <w:marLeft w:val="0"/>
          <w:marRight w:val="0"/>
          <w:marTop w:val="0"/>
          <w:marBottom w:val="0"/>
          <w:divBdr>
            <w:top w:val="none" w:sz="0" w:space="0" w:color="auto"/>
            <w:left w:val="none" w:sz="0" w:space="0" w:color="auto"/>
            <w:bottom w:val="none" w:sz="0" w:space="0" w:color="auto"/>
            <w:right w:val="none" w:sz="0" w:space="0" w:color="auto"/>
          </w:divBdr>
        </w:div>
        <w:div w:id="335504558">
          <w:marLeft w:val="0"/>
          <w:marRight w:val="0"/>
          <w:marTop w:val="0"/>
          <w:marBottom w:val="0"/>
          <w:divBdr>
            <w:top w:val="none" w:sz="0" w:space="0" w:color="auto"/>
            <w:left w:val="none" w:sz="0" w:space="0" w:color="auto"/>
            <w:bottom w:val="none" w:sz="0" w:space="0" w:color="auto"/>
            <w:right w:val="none" w:sz="0" w:space="0" w:color="auto"/>
          </w:divBdr>
        </w:div>
        <w:div w:id="13507632">
          <w:marLeft w:val="0"/>
          <w:marRight w:val="0"/>
          <w:marTop w:val="0"/>
          <w:marBottom w:val="0"/>
          <w:divBdr>
            <w:top w:val="none" w:sz="0" w:space="0" w:color="auto"/>
            <w:left w:val="none" w:sz="0" w:space="0" w:color="auto"/>
            <w:bottom w:val="none" w:sz="0" w:space="0" w:color="auto"/>
            <w:right w:val="none" w:sz="0" w:space="0" w:color="auto"/>
          </w:divBdr>
        </w:div>
        <w:div w:id="1613391764">
          <w:marLeft w:val="0"/>
          <w:marRight w:val="0"/>
          <w:marTop w:val="0"/>
          <w:marBottom w:val="0"/>
          <w:divBdr>
            <w:top w:val="none" w:sz="0" w:space="0" w:color="auto"/>
            <w:left w:val="none" w:sz="0" w:space="0" w:color="auto"/>
            <w:bottom w:val="none" w:sz="0" w:space="0" w:color="auto"/>
            <w:right w:val="none" w:sz="0" w:space="0" w:color="auto"/>
          </w:divBdr>
        </w:div>
        <w:div w:id="987592867">
          <w:marLeft w:val="0"/>
          <w:marRight w:val="0"/>
          <w:marTop w:val="0"/>
          <w:marBottom w:val="0"/>
          <w:divBdr>
            <w:top w:val="none" w:sz="0" w:space="0" w:color="auto"/>
            <w:left w:val="none" w:sz="0" w:space="0" w:color="auto"/>
            <w:bottom w:val="none" w:sz="0" w:space="0" w:color="auto"/>
            <w:right w:val="none" w:sz="0" w:space="0" w:color="auto"/>
          </w:divBdr>
        </w:div>
        <w:div w:id="865755432">
          <w:marLeft w:val="0"/>
          <w:marRight w:val="0"/>
          <w:marTop w:val="0"/>
          <w:marBottom w:val="0"/>
          <w:divBdr>
            <w:top w:val="none" w:sz="0" w:space="0" w:color="auto"/>
            <w:left w:val="none" w:sz="0" w:space="0" w:color="auto"/>
            <w:bottom w:val="none" w:sz="0" w:space="0" w:color="auto"/>
            <w:right w:val="none" w:sz="0" w:space="0" w:color="auto"/>
          </w:divBdr>
        </w:div>
        <w:div w:id="1690176679">
          <w:marLeft w:val="0"/>
          <w:marRight w:val="0"/>
          <w:marTop w:val="0"/>
          <w:marBottom w:val="0"/>
          <w:divBdr>
            <w:top w:val="none" w:sz="0" w:space="0" w:color="auto"/>
            <w:left w:val="none" w:sz="0" w:space="0" w:color="auto"/>
            <w:bottom w:val="none" w:sz="0" w:space="0" w:color="auto"/>
            <w:right w:val="none" w:sz="0" w:space="0" w:color="auto"/>
          </w:divBdr>
        </w:div>
        <w:div w:id="1696737148">
          <w:marLeft w:val="0"/>
          <w:marRight w:val="0"/>
          <w:marTop w:val="0"/>
          <w:marBottom w:val="0"/>
          <w:divBdr>
            <w:top w:val="none" w:sz="0" w:space="0" w:color="auto"/>
            <w:left w:val="none" w:sz="0" w:space="0" w:color="auto"/>
            <w:bottom w:val="none" w:sz="0" w:space="0" w:color="auto"/>
            <w:right w:val="none" w:sz="0" w:space="0" w:color="auto"/>
          </w:divBdr>
        </w:div>
        <w:div w:id="1453864899">
          <w:marLeft w:val="0"/>
          <w:marRight w:val="0"/>
          <w:marTop w:val="0"/>
          <w:marBottom w:val="0"/>
          <w:divBdr>
            <w:top w:val="none" w:sz="0" w:space="0" w:color="auto"/>
            <w:left w:val="none" w:sz="0" w:space="0" w:color="auto"/>
            <w:bottom w:val="none" w:sz="0" w:space="0" w:color="auto"/>
            <w:right w:val="none" w:sz="0" w:space="0" w:color="auto"/>
          </w:divBdr>
        </w:div>
        <w:div w:id="975646447">
          <w:marLeft w:val="0"/>
          <w:marRight w:val="0"/>
          <w:marTop w:val="0"/>
          <w:marBottom w:val="0"/>
          <w:divBdr>
            <w:top w:val="none" w:sz="0" w:space="0" w:color="auto"/>
            <w:left w:val="none" w:sz="0" w:space="0" w:color="auto"/>
            <w:bottom w:val="none" w:sz="0" w:space="0" w:color="auto"/>
            <w:right w:val="none" w:sz="0" w:space="0" w:color="auto"/>
          </w:divBdr>
        </w:div>
        <w:div w:id="195235661">
          <w:marLeft w:val="0"/>
          <w:marRight w:val="0"/>
          <w:marTop w:val="0"/>
          <w:marBottom w:val="0"/>
          <w:divBdr>
            <w:top w:val="none" w:sz="0" w:space="0" w:color="auto"/>
            <w:left w:val="none" w:sz="0" w:space="0" w:color="auto"/>
            <w:bottom w:val="none" w:sz="0" w:space="0" w:color="auto"/>
            <w:right w:val="none" w:sz="0" w:space="0" w:color="auto"/>
          </w:divBdr>
        </w:div>
        <w:div w:id="60521485">
          <w:marLeft w:val="0"/>
          <w:marRight w:val="0"/>
          <w:marTop w:val="0"/>
          <w:marBottom w:val="0"/>
          <w:divBdr>
            <w:top w:val="none" w:sz="0" w:space="0" w:color="auto"/>
            <w:left w:val="none" w:sz="0" w:space="0" w:color="auto"/>
            <w:bottom w:val="none" w:sz="0" w:space="0" w:color="auto"/>
            <w:right w:val="none" w:sz="0" w:space="0" w:color="auto"/>
          </w:divBdr>
        </w:div>
        <w:div w:id="792334829">
          <w:marLeft w:val="0"/>
          <w:marRight w:val="0"/>
          <w:marTop w:val="0"/>
          <w:marBottom w:val="0"/>
          <w:divBdr>
            <w:top w:val="none" w:sz="0" w:space="0" w:color="auto"/>
            <w:left w:val="none" w:sz="0" w:space="0" w:color="auto"/>
            <w:bottom w:val="none" w:sz="0" w:space="0" w:color="auto"/>
            <w:right w:val="none" w:sz="0" w:space="0" w:color="auto"/>
          </w:divBdr>
        </w:div>
        <w:div w:id="1140076596">
          <w:marLeft w:val="0"/>
          <w:marRight w:val="0"/>
          <w:marTop w:val="0"/>
          <w:marBottom w:val="0"/>
          <w:divBdr>
            <w:top w:val="none" w:sz="0" w:space="0" w:color="auto"/>
            <w:left w:val="none" w:sz="0" w:space="0" w:color="auto"/>
            <w:bottom w:val="none" w:sz="0" w:space="0" w:color="auto"/>
            <w:right w:val="none" w:sz="0" w:space="0" w:color="auto"/>
          </w:divBdr>
        </w:div>
        <w:div w:id="1331375619">
          <w:marLeft w:val="0"/>
          <w:marRight w:val="0"/>
          <w:marTop w:val="0"/>
          <w:marBottom w:val="0"/>
          <w:divBdr>
            <w:top w:val="none" w:sz="0" w:space="0" w:color="auto"/>
            <w:left w:val="none" w:sz="0" w:space="0" w:color="auto"/>
            <w:bottom w:val="none" w:sz="0" w:space="0" w:color="auto"/>
            <w:right w:val="none" w:sz="0" w:space="0" w:color="auto"/>
          </w:divBdr>
        </w:div>
        <w:div w:id="998966570">
          <w:marLeft w:val="0"/>
          <w:marRight w:val="0"/>
          <w:marTop w:val="0"/>
          <w:marBottom w:val="0"/>
          <w:divBdr>
            <w:top w:val="none" w:sz="0" w:space="0" w:color="auto"/>
            <w:left w:val="none" w:sz="0" w:space="0" w:color="auto"/>
            <w:bottom w:val="none" w:sz="0" w:space="0" w:color="auto"/>
            <w:right w:val="none" w:sz="0" w:space="0" w:color="auto"/>
          </w:divBdr>
        </w:div>
        <w:div w:id="552162046">
          <w:marLeft w:val="0"/>
          <w:marRight w:val="0"/>
          <w:marTop w:val="0"/>
          <w:marBottom w:val="0"/>
          <w:divBdr>
            <w:top w:val="none" w:sz="0" w:space="0" w:color="auto"/>
            <w:left w:val="none" w:sz="0" w:space="0" w:color="auto"/>
            <w:bottom w:val="none" w:sz="0" w:space="0" w:color="auto"/>
            <w:right w:val="none" w:sz="0" w:space="0" w:color="auto"/>
          </w:divBdr>
        </w:div>
        <w:div w:id="1844129954">
          <w:marLeft w:val="0"/>
          <w:marRight w:val="0"/>
          <w:marTop w:val="0"/>
          <w:marBottom w:val="0"/>
          <w:divBdr>
            <w:top w:val="none" w:sz="0" w:space="0" w:color="auto"/>
            <w:left w:val="none" w:sz="0" w:space="0" w:color="auto"/>
            <w:bottom w:val="none" w:sz="0" w:space="0" w:color="auto"/>
            <w:right w:val="none" w:sz="0" w:space="0" w:color="auto"/>
          </w:divBdr>
        </w:div>
        <w:div w:id="1445541624">
          <w:marLeft w:val="0"/>
          <w:marRight w:val="0"/>
          <w:marTop w:val="0"/>
          <w:marBottom w:val="0"/>
          <w:divBdr>
            <w:top w:val="none" w:sz="0" w:space="0" w:color="auto"/>
            <w:left w:val="none" w:sz="0" w:space="0" w:color="auto"/>
            <w:bottom w:val="none" w:sz="0" w:space="0" w:color="auto"/>
            <w:right w:val="none" w:sz="0" w:space="0" w:color="auto"/>
          </w:divBdr>
        </w:div>
        <w:div w:id="1317414348">
          <w:marLeft w:val="0"/>
          <w:marRight w:val="0"/>
          <w:marTop w:val="0"/>
          <w:marBottom w:val="0"/>
          <w:divBdr>
            <w:top w:val="none" w:sz="0" w:space="0" w:color="auto"/>
            <w:left w:val="none" w:sz="0" w:space="0" w:color="auto"/>
            <w:bottom w:val="none" w:sz="0" w:space="0" w:color="auto"/>
            <w:right w:val="none" w:sz="0" w:space="0" w:color="auto"/>
          </w:divBdr>
        </w:div>
        <w:div w:id="634334216">
          <w:marLeft w:val="0"/>
          <w:marRight w:val="0"/>
          <w:marTop w:val="0"/>
          <w:marBottom w:val="0"/>
          <w:divBdr>
            <w:top w:val="none" w:sz="0" w:space="0" w:color="auto"/>
            <w:left w:val="none" w:sz="0" w:space="0" w:color="auto"/>
            <w:bottom w:val="none" w:sz="0" w:space="0" w:color="auto"/>
            <w:right w:val="none" w:sz="0" w:space="0" w:color="auto"/>
          </w:divBdr>
        </w:div>
        <w:div w:id="1343162569">
          <w:marLeft w:val="0"/>
          <w:marRight w:val="0"/>
          <w:marTop w:val="0"/>
          <w:marBottom w:val="0"/>
          <w:divBdr>
            <w:top w:val="none" w:sz="0" w:space="0" w:color="auto"/>
            <w:left w:val="none" w:sz="0" w:space="0" w:color="auto"/>
            <w:bottom w:val="none" w:sz="0" w:space="0" w:color="auto"/>
            <w:right w:val="none" w:sz="0" w:space="0" w:color="auto"/>
          </w:divBdr>
        </w:div>
        <w:div w:id="86124250">
          <w:marLeft w:val="0"/>
          <w:marRight w:val="0"/>
          <w:marTop w:val="0"/>
          <w:marBottom w:val="0"/>
          <w:divBdr>
            <w:top w:val="none" w:sz="0" w:space="0" w:color="auto"/>
            <w:left w:val="none" w:sz="0" w:space="0" w:color="auto"/>
            <w:bottom w:val="none" w:sz="0" w:space="0" w:color="auto"/>
            <w:right w:val="none" w:sz="0" w:space="0" w:color="auto"/>
          </w:divBdr>
        </w:div>
        <w:div w:id="330835584">
          <w:marLeft w:val="0"/>
          <w:marRight w:val="0"/>
          <w:marTop w:val="0"/>
          <w:marBottom w:val="0"/>
          <w:divBdr>
            <w:top w:val="none" w:sz="0" w:space="0" w:color="auto"/>
            <w:left w:val="none" w:sz="0" w:space="0" w:color="auto"/>
            <w:bottom w:val="none" w:sz="0" w:space="0" w:color="auto"/>
            <w:right w:val="none" w:sz="0" w:space="0" w:color="auto"/>
          </w:divBdr>
        </w:div>
        <w:div w:id="2111468944">
          <w:marLeft w:val="0"/>
          <w:marRight w:val="0"/>
          <w:marTop w:val="0"/>
          <w:marBottom w:val="0"/>
          <w:divBdr>
            <w:top w:val="none" w:sz="0" w:space="0" w:color="auto"/>
            <w:left w:val="none" w:sz="0" w:space="0" w:color="auto"/>
            <w:bottom w:val="none" w:sz="0" w:space="0" w:color="auto"/>
            <w:right w:val="none" w:sz="0" w:space="0" w:color="auto"/>
          </w:divBdr>
        </w:div>
        <w:div w:id="825823676">
          <w:marLeft w:val="0"/>
          <w:marRight w:val="0"/>
          <w:marTop w:val="0"/>
          <w:marBottom w:val="0"/>
          <w:divBdr>
            <w:top w:val="none" w:sz="0" w:space="0" w:color="auto"/>
            <w:left w:val="none" w:sz="0" w:space="0" w:color="auto"/>
            <w:bottom w:val="none" w:sz="0" w:space="0" w:color="auto"/>
            <w:right w:val="none" w:sz="0" w:space="0" w:color="auto"/>
          </w:divBdr>
        </w:div>
        <w:div w:id="1630546279">
          <w:marLeft w:val="0"/>
          <w:marRight w:val="0"/>
          <w:marTop w:val="0"/>
          <w:marBottom w:val="0"/>
          <w:divBdr>
            <w:top w:val="none" w:sz="0" w:space="0" w:color="auto"/>
            <w:left w:val="none" w:sz="0" w:space="0" w:color="auto"/>
            <w:bottom w:val="none" w:sz="0" w:space="0" w:color="auto"/>
            <w:right w:val="none" w:sz="0" w:space="0" w:color="auto"/>
          </w:divBdr>
        </w:div>
        <w:div w:id="2068920371">
          <w:marLeft w:val="0"/>
          <w:marRight w:val="0"/>
          <w:marTop w:val="0"/>
          <w:marBottom w:val="0"/>
          <w:divBdr>
            <w:top w:val="none" w:sz="0" w:space="0" w:color="auto"/>
            <w:left w:val="none" w:sz="0" w:space="0" w:color="auto"/>
            <w:bottom w:val="none" w:sz="0" w:space="0" w:color="auto"/>
            <w:right w:val="none" w:sz="0" w:space="0" w:color="auto"/>
          </w:divBdr>
        </w:div>
        <w:div w:id="512841701">
          <w:marLeft w:val="0"/>
          <w:marRight w:val="0"/>
          <w:marTop w:val="0"/>
          <w:marBottom w:val="0"/>
          <w:divBdr>
            <w:top w:val="none" w:sz="0" w:space="0" w:color="auto"/>
            <w:left w:val="none" w:sz="0" w:space="0" w:color="auto"/>
            <w:bottom w:val="none" w:sz="0" w:space="0" w:color="auto"/>
            <w:right w:val="none" w:sz="0" w:space="0" w:color="auto"/>
          </w:divBdr>
        </w:div>
        <w:div w:id="147210957">
          <w:marLeft w:val="0"/>
          <w:marRight w:val="0"/>
          <w:marTop w:val="0"/>
          <w:marBottom w:val="0"/>
          <w:divBdr>
            <w:top w:val="none" w:sz="0" w:space="0" w:color="auto"/>
            <w:left w:val="none" w:sz="0" w:space="0" w:color="auto"/>
            <w:bottom w:val="none" w:sz="0" w:space="0" w:color="auto"/>
            <w:right w:val="none" w:sz="0" w:space="0" w:color="auto"/>
          </w:divBdr>
        </w:div>
        <w:div w:id="1545751234">
          <w:marLeft w:val="0"/>
          <w:marRight w:val="0"/>
          <w:marTop w:val="0"/>
          <w:marBottom w:val="0"/>
          <w:divBdr>
            <w:top w:val="none" w:sz="0" w:space="0" w:color="auto"/>
            <w:left w:val="none" w:sz="0" w:space="0" w:color="auto"/>
            <w:bottom w:val="none" w:sz="0" w:space="0" w:color="auto"/>
            <w:right w:val="none" w:sz="0" w:space="0" w:color="auto"/>
          </w:divBdr>
        </w:div>
        <w:div w:id="543520497">
          <w:marLeft w:val="0"/>
          <w:marRight w:val="0"/>
          <w:marTop w:val="0"/>
          <w:marBottom w:val="0"/>
          <w:divBdr>
            <w:top w:val="none" w:sz="0" w:space="0" w:color="auto"/>
            <w:left w:val="none" w:sz="0" w:space="0" w:color="auto"/>
            <w:bottom w:val="none" w:sz="0" w:space="0" w:color="auto"/>
            <w:right w:val="none" w:sz="0" w:space="0" w:color="auto"/>
          </w:divBdr>
        </w:div>
      </w:divsChild>
    </w:div>
    <w:div w:id="631254517">
      <w:bodyDiv w:val="1"/>
      <w:marLeft w:val="0"/>
      <w:marRight w:val="0"/>
      <w:marTop w:val="0"/>
      <w:marBottom w:val="0"/>
      <w:divBdr>
        <w:top w:val="none" w:sz="0" w:space="0" w:color="auto"/>
        <w:left w:val="none" w:sz="0" w:space="0" w:color="auto"/>
        <w:bottom w:val="none" w:sz="0" w:space="0" w:color="auto"/>
        <w:right w:val="none" w:sz="0" w:space="0" w:color="auto"/>
      </w:divBdr>
    </w:div>
    <w:div w:id="691615835">
      <w:bodyDiv w:val="1"/>
      <w:marLeft w:val="0"/>
      <w:marRight w:val="0"/>
      <w:marTop w:val="0"/>
      <w:marBottom w:val="0"/>
      <w:divBdr>
        <w:top w:val="none" w:sz="0" w:space="0" w:color="auto"/>
        <w:left w:val="none" w:sz="0" w:space="0" w:color="auto"/>
        <w:bottom w:val="none" w:sz="0" w:space="0" w:color="auto"/>
        <w:right w:val="none" w:sz="0" w:space="0" w:color="auto"/>
      </w:divBdr>
    </w:div>
    <w:div w:id="691999505">
      <w:bodyDiv w:val="1"/>
      <w:marLeft w:val="0"/>
      <w:marRight w:val="0"/>
      <w:marTop w:val="0"/>
      <w:marBottom w:val="0"/>
      <w:divBdr>
        <w:top w:val="none" w:sz="0" w:space="0" w:color="auto"/>
        <w:left w:val="none" w:sz="0" w:space="0" w:color="auto"/>
        <w:bottom w:val="none" w:sz="0" w:space="0" w:color="auto"/>
        <w:right w:val="none" w:sz="0" w:space="0" w:color="auto"/>
      </w:divBdr>
      <w:divsChild>
        <w:div w:id="1396784872">
          <w:marLeft w:val="0"/>
          <w:marRight w:val="0"/>
          <w:marTop w:val="0"/>
          <w:marBottom w:val="0"/>
          <w:divBdr>
            <w:top w:val="none" w:sz="0" w:space="0" w:color="auto"/>
            <w:left w:val="none" w:sz="0" w:space="0" w:color="auto"/>
            <w:bottom w:val="none" w:sz="0" w:space="0" w:color="auto"/>
            <w:right w:val="none" w:sz="0" w:space="0" w:color="auto"/>
          </w:divBdr>
        </w:div>
        <w:div w:id="1742755357">
          <w:marLeft w:val="0"/>
          <w:marRight w:val="0"/>
          <w:marTop w:val="0"/>
          <w:marBottom w:val="0"/>
          <w:divBdr>
            <w:top w:val="none" w:sz="0" w:space="0" w:color="auto"/>
            <w:left w:val="none" w:sz="0" w:space="0" w:color="auto"/>
            <w:bottom w:val="none" w:sz="0" w:space="0" w:color="auto"/>
            <w:right w:val="none" w:sz="0" w:space="0" w:color="auto"/>
          </w:divBdr>
        </w:div>
        <w:div w:id="699669934">
          <w:marLeft w:val="0"/>
          <w:marRight w:val="0"/>
          <w:marTop w:val="0"/>
          <w:marBottom w:val="0"/>
          <w:divBdr>
            <w:top w:val="none" w:sz="0" w:space="0" w:color="auto"/>
            <w:left w:val="none" w:sz="0" w:space="0" w:color="auto"/>
            <w:bottom w:val="none" w:sz="0" w:space="0" w:color="auto"/>
            <w:right w:val="none" w:sz="0" w:space="0" w:color="auto"/>
          </w:divBdr>
        </w:div>
        <w:div w:id="551312311">
          <w:marLeft w:val="0"/>
          <w:marRight w:val="0"/>
          <w:marTop w:val="0"/>
          <w:marBottom w:val="0"/>
          <w:divBdr>
            <w:top w:val="none" w:sz="0" w:space="0" w:color="auto"/>
            <w:left w:val="none" w:sz="0" w:space="0" w:color="auto"/>
            <w:bottom w:val="none" w:sz="0" w:space="0" w:color="auto"/>
            <w:right w:val="none" w:sz="0" w:space="0" w:color="auto"/>
          </w:divBdr>
        </w:div>
      </w:divsChild>
    </w:div>
    <w:div w:id="699672300">
      <w:bodyDiv w:val="1"/>
      <w:marLeft w:val="0"/>
      <w:marRight w:val="0"/>
      <w:marTop w:val="0"/>
      <w:marBottom w:val="0"/>
      <w:divBdr>
        <w:top w:val="none" w:sz="0" w:space="0" w:color="auto"/>
        <w:left w:val="none" w:sz="0" w:space="0" w:color="auto"/>
        <w:bottom w:val="none" w:sz="0" w:space="0" w:color="auto"/>
        <w:right w:val="none" w:sz="0" w:space="0" w:color="auto"/>
      </w:divBdr>
    </w:div>
    <w:div w:id="739988314">
      <w:bodyDiv w:val="1"/>
      <w:marLeft w:val="0"/>
      <w:marRight w:val="0"/>
      <w:marTop w:val="0"/>
      <w:marBottom w:val="0"/>
      <w:divBdr>
        <w:top w:val="none" w:sz="0" w:space="0" w:color="auto"/>
        <w:left w:val="none" w:sz="0" w:space="0" w:color="auto"/>
        <w:bottom w:val="none" w:sz="0" w:space="0" w:color="auto"/>
        <w:right w:val="none" w:sz="0" w:space="0" w:color="auto"/>
      </w:divBdr>
    </w:div>
    <w:div w:id="751662069">
      <w:bodyDiv w:val="1"/>
      <w:marLeft w:val="0"/>
      <w:marRight w:val="0"/>
      <w:marTop w:val="0"/>
      <w:marBottom w:val="0"/>
      <w:divBdr>
        <w:top w:val="none" w:sz="0" w:space="0" w:color="auto"/>
        <w:left w:val="none" w:sz="0" w:space="0" w:color="auto"/>
        <w:bottom w:val="none" w:sz="0" w:space="0" w:color="auto"/>
        <w:right w:val="none" w:sz="0" w:space="0" w:color="auto"/>
      </w:divBdr>
    </w:div>
    <w:div w:id="756638535">
      <w:bodyDiv w:val="1"/>
      <w:marLeft w:val="0"/>
      <w:marRight w:val="0"/>
      <w:marTop w:val="0"/>
      <w:marBottom w:val="0"/>
      <w:divBdr>
        <w:top w:val="none" w:sz="0" w:space="0" w:color="auto"/>
        <w:left w:val="none" w:sz="0" w:space="0" w:color="auto"/>
        <w:bottom w:val="none" w:sz="0" w:space="0" w:color="auto"/>
        <w:right w:val="none" w:sz="0" w:space="0" w:color="auto"/>
      </w:divBdr>
    </w:div>
    <w:div w:id="787821000">
      <w:bodyDiv w:val="1"/>
      <w:marLeft w:val="0"/>
      <w:marRight w:val="0"/>
      <w:marTop w:val="0"/>
      <w:marBottom w:val="0"/>
      <w:divBdr>
        <w:top w:val="none" w:sz="0" w:space="0" w:color="auto"/>
        <w:left w:val="none" w:sz="0" w:space="0" w:color="auto"/>
        <w:bottom w:val="none" w:sz="0" w:space="0" w:color="auto"/>
        <w:right w:val="none" w:sz="0" w:space="0" w:color="auto"/>
      </w:divBdr>
    </w:div>
    <w:div w:id="855341363">
      <w:bodyDiv w:val="1"/>
      <w:marLeft w:val="0"/>
      <w:marRight w:val="0"/>
      <w:marTop w:val="0"/>
      <w:marBottom w:val="0"/>
      <w:divBdr>
        <w:top w:val="none" w:sz="0" w:space="0" w:color="auto"/>
        <w:left w:val="none" w:sz="0" w:space="0" w:color="auto"/>
        <w:bottom w:val="none" w:sz="0" w:space="0" w:color="auto"/>
        <w:right w:val="none" w:sz="0" w:space="0" w:color="auto"/>
      </w:divBdr>
    </w:div>
    <w:div w:id="956913523">
      <w:bodyDiv w:val="1"/>
      <w:marLeft w:val="0"/>
      <w:marRight w:val="0"/>
      <w:marTop w:val="0"/>
      <w:marBottom w:val="0"/>
      <w:divBdr>
        <w:top w:val="none" w:sz="0" w:space="0" w:color="auto"/>
        <w:left w:val="none" w:sz="0" w:space="0" w:color="auto"/>
        <w:bottom w:val="none" w:sz="0" w:space="0" w:color="auto"/>
        <w:right w:val="none" w:sz="0" w:space="0" w:color="auto"/>
      </w:divBdr>
    </w:div>
    <w:div w:id="964576520">
      <w:bodyDiv w:val="1"/>
      <w:marLeft w:val="0"/>
      <w:marRight w:val="0"/>
      <w:marTop w:val="0"/>
      <w:marBottom w:val="0"/>
      <w:divBdr>
        <w:top w:val="none" w:sz="0" w:space="0" w:color="auto"/>
        <w:left w:val="none" w:sz="0" w:space="0" w:color="auto"/>
        <w:bottom w:val="none" w:sz="0" w:space="0" w:color="auto"/>
        <w:right w:val="none" w:sz="0" w:space="0" w:color="auto"/>
      </w:divBdr>
      <w:divsChild>
        <w:div w:id="1448696704">
          <w:marLeft w:val="0"/>
          <w:marRight w:val="0"/>
          <w:marTop w:val="0"/>
          <w:marBottom w:val="0"/>
          <w:divBdr>
            <w:top w:val="none" w:sz="0" w:space="0" w:color="auto"/>
            <w:left w:val="none" w:sz="0" w:space="0" w:color="auto"/>
            <w:bottom w:val="none" w:sz="0" w:space="0" w:color="auto"/>
            <w:right w:val="none" w:sz="0" w:space="0" w:color="auto"/>
          </w:divBdr>
        </w:div>
        <w:div w:id="1767265985">
          <w:marLeft w:val="0"/>
          <w:marRight w:val="0"/>
          <w:marTop w:val="0"/>
          <w:marBottom w:val="0"/>
          <w:divBdr>
            <w:top w:val="none" w:sz="0" w:space="0" w:color="auto"/>
            <w:left w:val="none" w:sz="0" w:space="0" w:color="auto"/>
            <w:bottom w:val="none" w:sz="0" w:space="0" w:color="auto"/>
            <w:right w:val="none" w:sz="0" w:space="0" w:color="auto"/>
          </w:divBdr>
        </w:div>
      </w:divsChild>
    </w:div>
    <w:div w:id="998072705">
      <w:bodyDiv w:val="1"/>
      <w:marLeft w:val="0"/>
      <w:marRight w:val="0"/>
      <w:marTop w:val="0"/>
      <w:marBottom w:val="0"/>
      <w:divBdr>
        <w:top w:val="none" w:sz="0" w:space="0" w:color="auto"/>
        <w:left w:val="none" w:sz="0" w:space="0" w:color="auto"/>
        <w:bottom w:val="none" w:sz="0" w:space="0" w:color="auto"/>
        <w:right w:val="none" w:sz="0" w:space="0" w:color="auto"/>
      </w:divBdr>
      <w:divsChild>
        <w:div w:id="232980830">
          <w:marLeft w:val="0"/>
          <w:marRight w:val="0"/>
          <w:marTop w:val="0"/>
          <w:marBottom w:val="0"/>
          <w:divBdr>
            <w:top w:val="none" w:sz="0" w:space="0" w:color="auto"/>
            <w:left w:val="none" w:sz="0" w:space="0" w:color="auto"/>
            <w:bottom w:val="none" w:sz="0" w:space="0" w:color="auto"/>
            <w:right w:val="none" w:sz="0" w:space="0" w:color="auto"/>
          </w:divBdr>
        </w:div>
        <w:div w:id="1814518962">
          <w:marLeft w:val="0"/>
          <w:marRight w:val="0"/>
          <w:marTop w:val="0"/>
          <w:marBottom w:val="0"/>
          <w:divBdr>
            <w:top w:val="none" w:sz="0" w:space="0" w:color="auto"/>
            <w:left w:val="none" w:sz="0" w:space="0" w:color="auto"/>
            <w:bottom w:val="none" w:sz="0" w:space="0" w:color="auto"/>
            <w:right w:val="none" w:sz="0" w:space="0" w:color="auto"/>
          </w:divBdr>
        </w:div>
        <w:div w:id="1168133894">
          <w:marLeft w:val="0"/>
          <w:marRight w:val="0"/>
          <w:marTop w:val="0"/>
          <w:marBottom w:val="0"/>
          <w:divBdr>
            <w:top w:val="none" w:sz="0" w:space="0" w:color="auto"/>
            <w:left w:val="none" w:sz="0" w:space="0" w:color="auto"/>
            <w:bottom w:val="none" w:sz="0" w:space="0" w:color="auto"/>
            <w:right w:val="none" w:sz="0" w:space="0" w:color="auto"/>
          </w:divBdr>
        </w:div>
        <w:div w:id="1253704372">
          <w:marLeft w:val="0"/>
          <w:marRight w:val="0"/>
          <w:marTop w:val="0"/>
          <w:marBottom w:val="0"/>
          <w:divBdr>
            <w:top w:val="none" w:sz="0" w:space="0" w:color="auto"/>
            <w:left w:val="none" w:sz="0" w:space="0" w:color="auto"/>
            <w:bottom w:val="none" w:sz="0" w:space="0" w:color="auto"/>
            <w:right w:val="none" w:sz="0" w:space="0" w:color="auto"/>
          </w:divBdr>
        </w:div>
        <w:div w:id="764157556">
          <w:marLeft w:val="0"/>
          <w:marRight w:val="0"/>
          <w:marTop w:val="0"/>
          <w:marBottom w:val="0"/>
          <w:divBdr>
            <w:top w:val="none" w:sz="0" w:space="0" w:color="auto"/>
            <w:left w:val="none" w:sz="0" w:space="0" w:color="auto"/>
            <w:bottom w:val="none" w:sz="0" w:space="0" w:color="auto"/>
            <w:right w:val="none" w:sz="0" w:space="0" w:color="auto"/>
          </w:divBdr>
        </w:div>
        <w:div w:id="1715884205">
          <w:marLeft w:val="0"/>
          <w:marRight w:val="0"/>
          <w:marTop w:val="0"/>
          <w:marBottom w:val="0"/>
          <w:divBdr>
            <w:top w:val="none" w:sz="0" w:space="0" w:color="auto"/>
            <w:left w:val="none" w:sz="0" w:space="0" w:color="auto"/>
            <w:bottom w:val="none" w:sz="0" w:space="0" w:color="auto"/>
            <w:right w:val="none" w:sz="0" w:space="0" w:color="auto"/>
          </w:divBdr>
        </w:div>
        <w:div w:id="580599768">
          <w:marLeft w:val="0"/>
          <w:marRight w:val="0"/>
          <w:marTop w:val="0"/>
          <w:marBottom w:val="0"/>
          <w:divBdr>
            <w:top w:val="none" w:sz="0" w:space="0" w:color="auto"/>
            <w:left w:val="none" w:sz="0" w:space="0" w:color="auto"/>
            <w:bottom w:val="none" w:sz="0" w:space="0" w:color="auto"/>
            <w:right w:val="none" w:sz="0" w:space="0" w:color="auto"/>
          </w:divBdr>
        </w:div>
        <w:div w:id="1579900012">
          <w:marLeft w:val="0"/>
          <w:marRight w:val="0"/>
          <w:marTop w:val="0"/>
          <w:marBottom w:val="0"/>
          <w:divBdr>
            <w:top w:val="none" w:sz="0" w:space="0" w:color="auto"/>
            <w:left w:val="none" w:sz="0" w:space="0" w:color="auto"/>
            <w:bottom w:val="none" w:sz="0" w:space="0" w:color="auto"/>
            <w:right w:val="none" w:sz="0" w:space="0" w:color="auto"/>
          </w:divBdr>
        </w:div>
        <w:div w:id="1064834781">
          <w:marLeft w:val="0"/>
          <w:marRight w:val="0"/>
          <w:marTop w:val="0"/>
          <w:marBottom w:val="0"/>
          <w:divBdr>
            <w:top w:val="none" w:sz="0" w:space="0" w:color="auto"/>
            <w:left w:val="none" w:sz="0" w:space="0" w:color="auto"/>
            <w:bottom w:val="none" w:sz="0" w:space="0" w:color="auto"/>
            <w:right w:val="none" w:sz="0" w:space="0" w:color="auto"/>
          </w:divBdr>
        </w:div>
      </w:divsChild>
    </w:div>
    <w:div w:id="1029796058">
      <w:bodyDiv w:val="1"/>
      <w:marLeft w:val="0"/>
      <w:marRight w:val="0"/>
      <w:marTop w:val="0"/>
      <w:marBottom w:val="0"/>
      <w:divBdr>
        <w:top w:val="none" w:sz="0" w:space="0" w:color="auto"/>
        <w:left w:val="none" w:sz="0" w:space="0" w:color="auto"/>
        <w:bottom w:val="none" w:sz="0" w:space="0" w:color="auto"/>
        <w:right w:val="none" w:sz="0" w:space="0" w:color="auto"/>
      </w:divBdr>
    </w:div>
    <w:div w:id="1030685540">
      <w:bodyDiv w:val="1"/>
      <w:marLeft w:val="0"/>
      <w:marRight w:val="0"/>
      <w:marTop w:val="0"/>
      <w:marBottom w:val="0"/>
      <w:divBdr>
        <w:top w:val="none" w:sz="0" w:space="0" w:color="auto"/>
        <w:left w:val="none" w:sz="0" w:space="0" w:color="auto"/>
        <w:bottom w:val="none" w:sz="0" w:space="0" w:color="auto"/>
        <w:right w:val="none" w:sz="0" w:space="0" w:color="auto"/>
      </w:divBdr>
      <w:divsChild>
        <w:div w:id="772868932">
          <w:marLeft w:val="1210"/>
          <w:marRight w:val="0"/>
          <w:marTop w:val="160"/>
          <w:marBottom w:val="0"/>
          <w:divBdr>
            <w:top w:val="none" w:sz="0" w:space="0" w:color="auto"/>
            <w:left w:val="none" w:sz="0" w:space="0" w:color="auto"/>
            <w:bottom w:val="none" w:sz="0" w:space="0" w:color="auto"/>
            <w:right w:val="none" w:sz="0" w:space="0" w:color="auto"/>
          </w:divBdr>
        </w:div>
      </w:divsChild>
    </w:div>
    <w:div w:id="1072656553">
      <w:bodyDiv w:val="1"/>
      <w:marLeft w:val="0"/>
      <w:marRight w:val="0"/>
      <w:marTop w:val="0"/>
      <w:marBottom w:val="0"/>
      <w:divBdr>
        <w:top w:val="none" w:sz="0" w:space="0" w:color="auto"/>
        <w:left w:val="none" w:sz="0" w:space="0" w:color="auto"/>
        <w:bottom w:val="none" w:sz="0" w:space="0" w:color="auto"/>
        <w:right w:val="none" w:sz="0" w:space="0" w:color="auto"/>
      </w:divBdr>
    </w:div>
    <w:div w:id="1099641380">
      <w:bodyDiv w:val="1"/>
      <w:marLeft w:val="0"/>
      <w:marRight w:val="0"/>
      <w:marTop w:val="0"/>
      <w:marBottom w:val="0"/>
      <w:divBdr>
        <w:top w:val="none" w:sz="0" w:space="0" w:color="auto"/>
        <w:left w:val="none" w:sz="0" w:space="0" w:color="auto"/>
        <w:bottom w:val="none" w:sz="0" w:space="0" w:color="auto"/>
        <w:right w:val="none" w:sz="0" w:space="0" w:color="auto"/>
      </w:divBdr>
    </w:div>
    <w:div w:id="1112283306">
      <w:bodyDiv w:val="1"/>
      <w:marLeft w:val="0"/>
      <w:marRight w:val="0"/>
      <w:marTop w:val="0"/>
      <w:marBottom w:val="0"/>
      <w:divBdr>
        <w:top w:val="none" w:sz="0" w:space="0" w:color="auto"/>
        <w:left w:val="none" w:sz="0" w:space="0" w:color="auto"/>
        <w:bottom w:val="none" w:sz="0" w:space="0" w:color="auto"/>
        <w:right w:val="none" w:sz="0" w:space="0" w:color="auto"/>
      </w:divBdr>
      <w:divsChild>
        <w:div w:id="1952277130">
          <w:marLeft w:val="0"/>
          <w:marRight w:val="0"/>
          <w:marTop w:val="0"/>
          <w:marBottom w:val="0"/>
          <w:divBdr>
            <w:top w:val="none" w:sz="0" w:space="0" w:color="auto"/>
            <w:left w:val="none" w:sz="0" w:space="0" w:color="auto"/>
            <w:bottom w:val="none" w:sz="0" w:space="0" w:color="auto"/>
            <w:right w:val="none" w:sz="0" w:space="0" w:color="auto"/>
          </w:divBdr>
        </w:div>
      </w:divsChild>
    </w:div>
    <w:div w:id="1215773687">
      <w:bodyDiv w:val="1"/>
      <w:marLeft w:val="0"/>
      <w:marRight w:val="0"/>
      <w:marTop w:val="0"/>
      <w:marBottom w:val="0"/>
      <w:divBdr>
        <w:top w:val="none" w:sz="0" w:space="0" w:color="auto"/>
        <w:left w:val="none" w:sz="0" w:space="0" w:color="auto"/>
        <w:bottom w:val="none" w:sz="0" w:space="0" w:color="auto"/>
        <w:right w:val="none" w:sz="0" w:space="0" w:color="auto"/>
      </w:divBdr>
    </w:div>
    <w:div w:id="1284994480">
      <w:bodyDiv w:val="1"/>
      <w:marLeft w:val="0"/>
      <w:marRight w:val="0"/>
      <w:marTop w:val="0"/>
      <w:marBottom w:val="0"/>
      <w:divBdr>
        <w:top w:val="none" w:sz="0" w:space="0" w:color="auto"/>
        <w:left w:val="none" w:sz="0" w:space="0" w:color="auto"/>
        <w:bottom w:val="none" w:sz="0" w:space="0" w:color="auto"/>
        <w:right w:val="none" w:sz="0" w:space="0" w:color="auto"/>
      </w:divBdr>
    </w:div>
    <w:div w:id="1289042919">
      <w:bodyDiv w:val="1"/>
      <w:marLeft w:val="0"/>
      <w:marRight w:val="0"/>
      <w:marTop w:val="0"/>
      <w:marBottom w:val="0"/>
      <w:divBdr>
        <w:top w:val="none" w:sz="0" w:space="0" w:color="auto"/>
        <w:left w:val="none" w:sz="0" w:space="0" w:color="auto"/>
        <w:bottom w:val="none" w:sz="0" w:space="0" w:color="auto"/>
        <w:right w:val="none" w:sz="0" w:space="0" w:color="auto"/>
      </w:divBdr>
      <w:divsChild>
        <w:div w:id="2064476231">
          <w:marLeft w:val="0"/>
          <w:marRight w:val="0"/>
          <w:marTop w:val="0"/>
          <w:marBottom w:val="0"/>
          <w:divBdr>
            <w:top w:val="none" w:sz="0" w:space="0" w:color="auto"/>
            <w:left w:val="none" w:sz="0" w:space="0" w:color="auto"/>
            <w:bottom w:val="none" w:sz="0" w:space="0" w:color="auto"/>
            <w:right w:val="none" w:sz="0" w:space="0" w:color="auto"/>
          </w:divBdr>
        </w:div>
        <w:div w:id="176506063">
          <w:marLeft w:val="0"/>
          <w:marRight w:val="0"/>
          <w:marTop w:val="0"/>
          <w:marBottom w:val="0"/>
          <w:divBdr>
            <w:top w:val="none" w:sz="0" w:space="0" w:color="auto"/>
            <w:left w:val="none" w:sz="0" w:space="0" w:color="auto"/>
            <w:bottom w:val="none" w:sz="0" w:space="0" w:color="auto"/>
            <w:right w:val="none" w:sz="0" w:space="0" w:color="auto"/>
          </w:divBdr>
        </w:div>
      </w:divsChild>
    </w:div>
    <w:div w:id="1295409689">
      <w:bodyDiv w:val="1"/>
      <w:marLeft w:val="0"/>
      <w:marRight w:val="0"/>
      <w:marTop w:val="0"/>
      <w:marBottom w:val="0"/>
      <w:divBdr>
        <w:top w:val="none" w:sz="0" w:space="0" w:color="auto"/>
        <w:left w:val="none" w:sz="0" w:space="0" w:color="auto"/>
        <w:bottom w:val="none" w:sz="0" w:space="0" w:color="auto"/>
        <w:right w:val="none" w:sz="0" w:space="0" w:color="auto"/>
      </w:divBdr>
    </w:div>
    <w:div w:id="1351302028">
      <w:bodyDiv w:val="1"/>
      <w:marLeft w:val="0"/>
      <w:marRight w:val="0"/>
      <w:marTop w:val="0"/>
      <w:marBottom w:val="0"/>
      <w:divBdr>
        <w:top w:val="none" w:sz="0" w:space="0" w:color="auto"/>
        <w:left w:val="none" w:sz="0" w:space="0" w:color="auto"/>
        <w:bottom w:val="none" w:sz="0" w:space="0" w:color="auto"/>
        <w:right w:val="none" w:sz="0" w:space="0" w:color="auto"/>
      </w:divBdr>
    </w:div>
    <w:div w:id="1425766052">
      <w:bodyDiv w:val="1"/>
      <w:marLeft w:val="0"/>
      <w:marRight w:val="0"/>
      <w:marTop w:val="0"/>
      <w:marBottom w:val="0"/>
      <w:divBdr>
        <w:top w:val="none" w:sz="0" w:space="0" w:color="auto"/>
        <w:left w:val="none" w:sz="0" w:space="0" w:color="auto"/>
        <w:bottom w:val="none" w:sz="0" w:space="0" w:color="auto"/>
        <w:right w:val="none" w:sz="0" w:space="0" w:color="auto"/>
      </w:divBdr>
    </w:div>
    <w:div w:id="1466972215">
      <w:bodyDiv w:val="1"/>
      <w:marLeft w:val="0"/>
      <w:marRight w:val="0"/>
      <w:marTop w:val="0"/>
      <w:marBottom w:val="0"/>
      <w:divBdr>
        <w:top w:val="none" w:sz="0" w:space="0" w:color="auto"/>
        <w:left w:val="none" w:sz="0" w:space="0" w:color="auto"/>
        <w:bottom w:val="none" w:sz="0" w:space="0" w:color="auto"/>
        <w:right w:val="none" w:sz="0" w:space="0" w:color="auto"/>
      </w:divBdr>
    </w:div>
    <w:div w:id="1472013978">
      <w:bodyDiv w:val="1"/>
      <w:marLeft w:val="0"/>
      <w:marRight w:val="0"/>
      <w:marTop w:val="0"/>
      <w:marBottom w:val="0"/>
      <w:divBdr>
        <w:top w:val="none" w:sz="0" w:space="0" w:color="auto"/>
        <w:left w:val="none" w:sz="0" w:space="0" w:color="auto"/>
        <w:bottom w:val="none" w:sz="0" w:space="0" w:color="auto"/>
        <w:right w:val="none" w:sz="0" w:space="0" w:color="auto"/>
      </w:divBdr>
      <w:divsChild>
        <w:div w:id="1940671542">
          <w:marLeft w:val="0"/>
          <w:marRight w:val="0"/>
          <w:marTop w:val="0"/>
          <w:marBottom w:val="0"/>
          <w:divBdr>
            <w:top w:val="none" w:sz="0" w:space="0" w:color="auto"/>
            <w:left w:val="none" w:sz="0" w:space="0" w:color="auto"/>
            <w:bottom w:val="none" w:sz="0" w:space="0" w:color="auto"/>
            <w:right w:val="none" w:sz="0" w:space="0" w:color="auto"/>
          </w:divBdr>
        </w:div>
      </w:divsChild>
    </w:div>
    <w:div w:id="1483812908">
      <w:bodyDiv w:val="1"/>
      <w:marLeft w:val="0"/>
      <w:marRight w:val="0"/>
      <w:marTop w:val="0"/>
      <w:marBottom w:val="0"/>
      <w:divBdr>
        <w:top w:val="none" w:sz="0" w:space="0" w:color="auto"/>
        <w:left w:val="none" w:sz="0" w:space="0" w:color="auto"/>
        <w:bottom w:val="none" w:sz="0" w:space="0" w:color="auto"/>
        <w:right w:val="none" w:sz="0" w:space="0" w:color="auto"/>
      </w:divBdr>
    </w:div>
    <w:div w:id="1493643863">
      <w:bodyDiv w:val="1"/>
      <w:marLeft w:val="0"/>
      <w:marRight w:val="0"/>
      <w:marTop w:val="0"/>
      <w:marBottom w:val="0"/>
      <w:divBdr>
        <w:top w:val="none" w:sz="0" w:space="0" w:color="auto"/>
        <w:left w:val="none" w:sz="0" w:space="0" w:color="auto"/>
        <w:bottom w:val="none" w:sz="0" w:space="0" w:color="auto"/>
        <w:right w:val="none" w:sz="0" w:space="0" w:color="auto"/>
      </w:divBdr>
    </w:div>
    <w:div w:id="1541744840">
      <w:bodyDiv w:val="1"/>
      <w:marLeft w:val="0"/>
      <w:marRight w:val="0"/>
      <w:marTop w:val="0"/>
      <w:marBottom w:val="0"/>
      <w:divBdr>
        <w:top w:val="none" w:sz="0" w:space="0" w:color="auto"/>
        <w:left w:val="none" w:sz="0" w:space="0" w:color="auto"/>
        <w:bottom w:val="none" w:sz="0" w:space="0" w:color="auto"/>
        <w:right w:val="none" w:sz="0" w:space="0" w:color="auto"/>
      </w:divBdr>
      <w:divsChild>
        <w:div w:id="1813206778">
          <w:marLeft w:val="0"/>
          <w:marRight w:val="0"/>
          <w:marTop w:val="0"/>
          <w:marBottom w:val="0"/>
          <w:divBdr>
            <w:top w:val="none" w:sz="0" w:space="0" w:color="auto"/>
            <w:left w:val="none" w:sz="0" w:space="0" w:color="auto"/>
            <w:bottom w:val="none" w:sz="0" w:space="0" w:color="auto"/>
            <w:right w:val="none" w:sz="0" w:space="0" w:color="auto"/>
          </w:divBdr>
        </w:div>
        <w:div w:id="1337153495">
          <w:marLeft w:val="0"/>
          <w:marRight w:val="0"/>
          <w:marTop w:val="0"/>
          <w:marBottom w:val="0"/>
          <w:divBdr>
            <w:top w:val="none" w:sz="0" w:space="0" w:color="auto"/>
            <w:left w:val="none" w:sz="0" w:space="0" w:color="auto"/>
            <w:bottom w:val="none" w:sz="0" w:space="0" w:color="auto"/>
            <w:right w:val="none" w:sz="0" w:space="0" w:color="auto"/>
          </w:divBdr>
        </w:div>
        <w:div w:id="1907837003">
          <w:marLeft w:val="0"/>
          <w:marRight w:val="0"/>
          <w:marTop w:val="0"/>
          <w:marBottom w:val="0"/>
          <w:divBdr>
            <w:top w:val="none" w:sz="0" w:space="0" w:color="auto"/>
            <w:left w:val="none" w:sz="0" w:space="0" w:color="auto"/>
            <w:bottom w:val="none" w:sz="0" w:space="0" w:color="auto"/>
            <w:right w:val="none" w:sz="0" w:space="0" w:color="auto"/>
          </w:divBdr>
        </w:div>
        <w:div w:id="1928688302">
          <w:marLeft w:val="0"/>
          <w:marRight w:val="0"/>
          <w:marTop w:val="0"/>
          <w:marBottom w:val="0"/>
          <w:divBdr>
            <w:top w:val="none" w:sz="0" w:space="0" w:color="auto"/>
            <w:left w:val="none" w:sz="0" w:space="0" w:color="auto"/>
            <w:bottom w:val="none" w:sz="0" w:space="0" w:color="auto"/>
            <w:right w:val="none" w:sz="0" w:space="0" w:color="auto"/>
          </w:divBdr>
        </w:div>
        <w:div w:id="361515956">
          <w:marLeft w:val="0"/>
          <w:marRight w:val="0"/>
          <w:marTop w:val="0"/>
          <w:marBottom w:val="0"/>
          <w:divBdr>
            <w:top w:val="none" w:sz="0" w:space="0" w:color="auto"/>
            <w:left w:val="none" w:sz="0" w:space="0" w:color="auto"/>
            <w:bottom w:val="none" w:sz="0" w:space="0" w:color="auto"/>
            <w:right w:val="none" w:sz="0" w:space="0" w:color="auto"/>
          </w:divBdr>
        </w:div>
        <w:div w:id="1557160279">
          <w:marLeft w:val="0"/>
          <w:marRight w:val="0"/>
          <w:marTop w:val="0"/>
          <w:marBottom w:val="0"/>
          <w:divBdr>
            <w:top w:val="none" w:sz="0" w:space="0" w:color="auto"/>
            <w:left w:val="none" w:sz="0" w:space="0" w:color="auto"/>
            <w:bottom w:val="none" w:sz="0" w:space="0" w:color="auto"/>
            <w:right w:val="none" w:sz="0" w:space="0" w:color="auto"/>
          </w:divBdr>
        </w:div>
        <w:div w:id="1620842325">
          <w:marLeft w:val="0"/>
          <w:marRight w:val="0"/>
          <w:marTop w:val="0"/>
          <w:marBottom w:val="0"/>
          <w:divBdr>
            <w:top w:val="none" w:sz="0" w:space="0" w:color="auto"/>
            <w:left w:val="none" w:sz="0" w:space="0" w:color="auto"/>
            <w:bottom w:val="none" w:sz="0" w:space="0" w:color="auto"/>
            <w:right w:val="none" w:sz="0" w:space="0" w:color="auto"/>
          </w:divBdr>
        </w:div>
        <w:div w:id="450787410">
          <w:marLeft w:val="0"/>
          <w:marRight w:val="0"/>
          <w:marTop w:val="0"/>
          <w:marBottom w:val="0"/>
          <w:divBdr>
            <w:top w:val="none" w:sz="0" w:space="0" w:color="auto"/>
            <w:left w:val="none" w:sz="0" w:space="0" w:color="auto"/>
            <w:bottom w:val="none" w:sz="0" w:space="0" w:color="auto"/>
            <w:right w:val="none" w:sz="0" w:space="0" w:color="auto"/>
          </w:divBdr>
        </w:div>
        <w:div w:id="353306936">
          <w:marLeft w:val="0"/>
          <w:marRight w:val="0"/>
          <w:marTop w:val="0"/>
          <w:marBottom w:val="0"/>
          <w:divBdr>
            <w:top w:val="none" w:sz="0" w:space="0" w:color="auto"/>
            <w:left w:val="none" w:sz="0" w:space="0" w:color="auto"/>
            <w:bottom w:val="none" w:sz="0" w:space="0" w:color="auto"/>
            <w:right w:val="none" w:sz="0" w:space="0" w:color="auto"/>
          </w:divBdr>
        </w:div>
        <w:div w:id="632444760">
          <w:marLeft w:val="0"/>
          <w:marRight w:val="0"/>
          <w:marTop w:val="0"/>
          <w:marBottom w:val="0"/>
          <w:divBdr>
            <w:top w:val="none" w:sz="0" w:space="0" w:color="auto"/>
            <w:left w:val="none" w:sz="0" w:space="0" w:color="auto"/>
            <w:bottom w:val="none" w:sz="0" w:space="0" w:color="auto"/>
            <w:right w:val="none" w:sz="0" w:space="0" w:color="auto"/>
          </w:divBdr>
        </w:div>
        <w:div w:id="1683897140">
          <w:marLeft w:val="0"/>
          <w:marRight w:val="0"/>
          <w:marTop w:val="0"/>
          <w:marBottom w:val="0"/>
          <w:divBdr>
            <w:top w:val="none" w:sz="0" w:space="0" w:color="auto"/>
            <w:left w:val="none" w:sz="0" w:space="0" w:color="auto"/>
            <w:bottom w:val="none" w:sz="0" w:space="0" w:color="auto"/>
            <w:right w:val="none" w:sz="0" w:space="0" w:color="auto"/>
          </w:divBdr>
        </w:div>
        <w:div w:id="1524248656">
          <w:marLeft w:val="0"/>
          <w:marRight w:val="0"/>
          <w:marTop w:val="0"/>
          <w:marBottom w:val="0"/>
          <w:divBdr>
            <w:top w:val="none" w:sz="0" w:space="0" w:color="auto"/>
            <w:left w:val="none" w:sz="0" w:space="0" w:color="auto"/>
            <w:bottom w:val="none" w:sz="0" w:space="0" w:color="auto"/>
            <w:right w:val="none" w:sz="0" w:space="0" w:color="auto"/>
          </w:divBdr>
        </w:div>
        <w:div w:id="319160729">
          <w:marLeft w:val="0"/>
          <w:marRight w:val="0"/>
          <w:marTop w:val="0"/>
          <w:marBottom w:val="0"/>
          <w:divBdr>
            <w:top w:val="none" w:sz="0" w:space="0" w:color="auto"/>
            <w:left w:val="none" w:sz="0" w:space="0" w:color="auto"/>
            <w:bottom w:val="none" w:sz="0" w:space="0" w:color="auto"/>
            <w:right w:val="none" w:sz="0" w:space="0" w:color="auto"/>
          </w:divBdr>
        </w:div>
        <w:div w:id="1152717932">
          <w:marLeft w:val="0"/>
          <w:marRight w:val="0"/>
          <w:marTop w:val="0"/>
          <w:marBottom w:val="0"/>
          <w:divBdr>
            <w:top w:val="none" w:sz="0" w:space="0" w:color="auto"/>
            <w:left w:val="none" w:sz="0" w:space="0" w:color="auto"/>
            <w:bottom w:val="none" w:sz="0" w:space="0" w:color="auto"/>
            <w:right w:val="none" w:sz="0" w:space="0" w:color="auto"/>
          </w:divBdr>
        </w:div>
        <w:div w:id="2039546996">
          <w:marLeft w:val="0"/>
          <w:marRight w:val="0"/>
          <w:marTop w:val="0"/>
          <w:marBottom w:val="0"/>
          <w:divBdr>
            <w:top w:val="none" w:sz="0" w:space="0" w:color="auto"/>
            <w:left w:val="none" w:sz="0" w:space="0" w:color="auto"/>
            <w:bottom w:val="none" w:sz="0" w:space="0" w:color="auto"/>
            <w:right w:val="none" w:sz="0" w:space="0" w:color="auto"/>
          </w:divBdr>
        </w:div>
      </w:divsChild>
    </w:div>
    <w:div w:id="1550844672">
      <w:bodyDiv w:val="1"/>
      <w:marLeft w:val="0"/>
      <w:marRight w:val="0"/>
      <w:marTop w:val="0"/>
      <w:marBottom w:val="0"/>
      <w:divBdr>
        <w:top w:val="none" w:sz="0" w:space="0" w:color="auto"/>
        <w:left w:val="none" w:sz="0" w:space="0" w:color="auto"/>
        <w:bottom w:val="none" w:sz="0" w:space="0" w:color="auto"/>
        <w:right w:val="none" w:sz="0" w:space="0" w:color="auto"/>
      </w:divBdr>
      <w:divsChild>
        <w:div w:id="456408856">
          <w:marLeft w:val="0"/>
          <w:marRight w:val="0"/>
          <w:marTop w:val="0"/>
          <w:marBottom w:val="0"/>
          <w:divBdr>
            <w:top w:val="none" w:sz="0" w:space="0" w:color="auto"/>
            <w:left w:val="none" w:sz="0" w:space="0" w:color="auto"/>
            <w:bottom w:val="none" w:sz="0" w:space="0" w:color="auto"/>
            <w:right w:val="none" w:sz="0" w:space="0" w:color="auto"/>
          </w:divBdr>
          <w:divsChild>
            <w:div w:id="337928590">
              <w:marLeft w:val="0"/>
              <w:marRight w:val="0"/>
              <w:marTop w:val="0"/>
              <w:marBottom w:val="0"/>
              <w:divBdr>
                <w:top w:val="none" w:sz="0" w:space="0" w:color="auto"/>
                <w:left w:val="none" w:sz="0" w:space="0" w:color="auto"/>
                <w:bottom w:val="none" w:sz="0" w:space="0" w:color="auto"/>
                <w:right w:val="none" w:sz="0" w:space="0" w:color="auto"/>
              </w:divBdr>
            </w:div>
          </w:divsChild>
        </w:div>
        <w:div w:id="495222772">
          <w:marLeft w:val="0"/>
          <w:marRight w:val="0"/>
          <w:marTop w:val="0"/>
          <w:marBottom w:val="0"/>
          <w:divBdr>
            <w:top w:val="none" w:sz="0" w:space="0" w:color="auto"/>
            <w:left w:val="none" w:sz="0" w:space="0" w:color="auto"/>
            <w:bottom w:val="none" w:sz="0" w:space="0" w:color="auto"/>
            <w:right w:val="none" w:sz="0" w:space="0" w:color="auto"/>
          </w:divBdr>
          <w:divsChild>
            <w:div w:id="187526336">
              <w:marLeft w:val="0"/>
              <w:marRight w:val="0"/>
              <w:marTop w:val="0"/>
              <w:marBottom w:val="0"/>
              <w:divBdr>
                <w:top w:val="none" w:sz="0" w:space="0" w:color="auto"/>
                <w:left w:val="none" w:sz="0" w:space="0" w:color="auto"/>
                <w:bottom w:val="none" w:sz="0" w:space="0" w:color="auto"/>
                <w:right w:val="none" w:sz="0" w:space="0" w:color="auto"/>
              </w:divBdr>
              <w:divsChild>
                <w:div w:id="125431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623677">
          <w:marLeft w:val="0"/>
          <w:marRight w:val="0"/>
          <w:marTop w:val="0"/>
          <w:marBottom w:val="0"/>
          <w:divBdr>
            <w:top w:val="none" w:sz="0" w:space="0" w:color="auto"/>
            <w:left w:val="none" w:sz="0" w:space="0" w:color="auto"/>
            <w:bottom w:val="none" w:sz="0" w:space="0" w:color="auto"/>
            <w:right w:val="none" w:sz="0" w:space="0" w:color="auto"/>
          </w:divBdr>
          <w:divsChild>
            <w:div w:id="1305431670">
              <w:marLeft w:val="0"/>
              <w:marRight w:val="0"/>
              <w:marTop w:val="0"/>
              <w:marBottom w:val="0"/>
              <w:divBdr>
                <w:top w:val="none" w:sz="0" w:space="0" w:color="auto"/>
                <w:left w:val="none" w:sz="0" w:space="0" w:color="auto"/>
                <w:bottom w:val="none" w:sz="0" w:space="0" w:color="auto"/>
                <w:right w:val="none" w:sz="0" w:space="0" w:color="auto"/>
              </w:divBdr>
              <w:divsChild>
                <w:div w:id="16371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483327">
          <w:marLeft w:val="0"/>
          <w:marRight w:val="0"/>
          <w:marTop w:val="0"/>
          <w:marBottom w:val="0"/>
          <w:divBdr>
            <w:top w:val="none" w:sz="0" w:space="0" w:color="auto"/>
            <w:left w:val="none" w:sz="0" w:space="0" w:color="auto"/>
            <w:bottom w:val="none" w:sz="0" w:space="0" w:color="auto"/>
            <w:right w:val="none" w:sz="0" w:space="0" w:color="auto"/>
          </w:divBdr>
          <w:divsChild>
            <w:div w:id="71239888">
              <w:marLeft w:val="0"/>
              <w:marRight w:val="0"/>
              <w:marTop w:val="0"/>
              <w:marBottom w:val="0"/>
              <w:divBdr>
                <w:top w:val="none" w:sz="0" w:space="0" w:color="auto"/>
                <w:left w:val="none" w:sz="0" w:space="0" w:color="auto"/>
                <w:bottom w:val="none" w:sz="0" w:space="0" w:color="auto"/>
                <w:right w:val="none" w:sz="0" w:space="0" w:color="auto"/>
              </w:divBdr>
            </w:div>
          </w:divsChild>
        </w:div>
        <w:div w:id="1675573122">
          <w:marLeft w:val="0"/>
          <w:marRight w:val="0"/>
          <w:marTop w:val="0"/>
          <w:marBottom w:val="0"/>
          <w:divBdr>
            <w:top w:val="none" w:sz="0" w:space="0" w:color="auto"/>
            <w:left w:val="none" w:sz="0" w:space="0" w:color="auto"/>
            <w:bottom w:val="none" w:sz="0" w:space="0" w:color="auto"/>
            <w:right w:val="none" w:sz="0" w:space="0" w:color="auto"/>
          </w:divBdr>
          <w:divsChild>
            <w:div w:id="193674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60550">
      <w:bodyDiv w:val="1"/>
      <w:marLeft w:val="0"/>
      <w:marRight w:val="0"/>
      <w:marTop w:val="0"/>
      <w:marBottom w:val="0"/>
      <w:divBdr>
        <w:top w:val="none" w:sz="0" w:space="0" w:color="auto"/>
        <w:left w:val="none" w:sz="0" w:space="0" w:color="auto"/>
        <w:bottom w:val="none" w:sz="0" w:space="0" w:color="auto"/>
        <w:right w:val="none" w:sz="0" w:space="0" w:color="auto"/>
      </w:divBdr>
      <w:divsChild>
        <w:div w:id="665978586">
          <w:marLeft w:val="300"/>
          <w:marRight w:val="0"/>
          <w:marTop w:val="0"/>
          <w:marBottom w:val="0"/>
          <w:divBdr>
            <w:top w:val="none" w:sz="0" w:space="0" w:color="auto"/>
            <w:left w:val="none" w:sz="0" w:space="0" w:color="auto"/>
            <w:bottom w:val="none" w:sz="0" w:space="0" w:color="auto"/>
            <w:right w:val="none" w:sz="0" w:space="0" w:color="auto"/>
          </w:divBdr>
        </w:div>
        <w:div w:id="989091256">
          <w:marLeft w:val="300"/>
          <w:marRight w:val="0"/>
          <w:marTop w:val="0"/>
          <w:marBottom w:val="0"/>
          <w:divBdr>
            <w:top w:val="none" w:sz="0" w:space="0" w:color="auto"/>
            <w:left w:val="none" w:sz="0" w:space="0" w:color="auto"/>
            <w:bottom w:val="none" w:sz="0" w:space="0" w:color="auto"/>
            <w:right w:val="none" w:sz="0" w:space="0" w:color="auto"/>
          </w:divBdr>
        </w:div>
        <w:div w:id="1379237165">
          <w:marLeft w:val="300"/>
          <w:marRight w:val="0"/>
          <w:marTop w:val="0"/>
          <w:marBottom w:val="0"/>
          <w:divBdr>
            <w:top w:val="none" w:sz="0" w:space="0" w:color="auto"/>
            <w:left w:val="none" w:sz="0" w:space="0" w:color="auto"/>
            <w:bottom w:val="none" w:sz="0" w:space="0" w:color="auto"/>
            <w:right w:val="none" w:sz="0" w:space="0" w:color="auto"/>
          </w:divBdr>
        </w:div>
      </w:divsChild>
    </w:div>
    <w:div w:id="1591619902">
      <w:bodyDiv w:val="1"/>
      <w:marLeft w:val="0"/>
      <w:marRight w:val="0"/>
      <w:marTop w:val="0"/>
      <w:marBottom w:val="0"/>
      <w:divBdr>
        <w:top w:val="none" w:sz="0" w:space="0" w:color="auto"/>
        <w:left w:val="none" w:sz="0" w:space="0" w:color="auto"/>
        <w:bottom w:val="none" w:sz="0" w:space="0" w:color="auto"/>
        <w:right w:val="none" w:sz="0" w:space="0" w:color="auto"/>
      </w:divBdr>
      <w:divsChild>
        <w:div w:id="1464034977">
          <w:marLeft w:val="0"/>
          <w:marRight w:val="0"/>
          <w:marTop w:val="0"/>
          <w:marBottom w:val="0"/>
          <w:divBdr>
            <w:top w:val="none" w:sz="0" w:space="0" w:color="auto"/>
            <w:left w:val="none" w:sz="0" w:space="0" w:color="auto"/>
            <w:bottom w:val="none" w:sz="0" w:space="0" w:color="auto"/>
            <w:right w:val="none" w:sz="0" w:space="0" w:color="auto"/>
          </w:divBdr>
          <w:divsChild>
            <w:div w:id="1707827022">
              <w:marLeft w:val="0"/>
              <w:marRight w:val="0"/>
              <w:marTop w:val="0"/>
              <w:marBottom w:val="0"/>
              <w:divBdr>
                <w:top w:val="none" w:sz="0" w:space="0" w:color="auto"/>
                <w:left w:val="none" w:sz="0" w:space="0" w:color="auto"/>
                <w:bottom w:val="none" w:sz="0" w:space="0" w:color="auto"/>
                <w:right w:val="none" w:sz="0" w:space="0" w:color="auto"/>
              </w:divBdr>
              <w:divsChild>
                <w:div w:id="417942189">
                  <w:marLeft w:val="0"/>
                  <w:marRight w:val="0"/>
                  <w:marTop w:val="0"/>
                  <w:marBottom w:val="0"/>
                  <w:divBdr>
                    <w:top w:val="none" w:sz="0" w:space="0" w:color="auto"/>
                    <w:left w:val="none" w:sz="0" w:space="0" w:color="auto"/>
                    <w:bottom w:val="none" w:sz="0" w:space="0" w:color="auto"/>
                    <w:right w:val="none" w:sz="0" w:space="0" w:color="auto"/>
                  </w:divBdr>
                  <w:divsChild>
                    <w:div w:id="1996227108">
                      <w:marLeft w:val="0"/>
                      <w:marRight w:val="0"/>
                      <w:marTop w:val="0"/>
                      <w:marBottom w:val="0"/>
                      <w:divBdr>
                        <w:top w:val="none" w:sz="0" w:space="0" w:color="auto"/>
                        <w:left w:val="none" w:sz="0" w:space="0" w:color="auto"/>
                        <w:bottom w:val="none" w:sz="0" w:space="0" w:color="auto"/>
                        <w:right w:val="none" w:sz="0" w:space="0" w:color="auto"/>
                      </w:divBdr>
                      <w:divsChild>
                        <w:div w:id="1090470431">
                          <w:marLeft w:val="0"/>
                          <w:marRight w:val="0"/>
                          <w:marTop w:val="0"/>
                          <w:marBottom w:val="0"/>
                          <w:divBdr>
                            <w:top w:val="none" w:sz="0" w:space="0" w:color="auto"/>
                            <w:left w:val="none" w:sz="0" w:space="0" w:color="auto"/>
                            <w:bottom w:val="none" w:sz="0" w:space="0" w:color="auto"/>
                            <w:right w:val="none" w:sz="0" w:space="0" w:color="auto"/>
                          </w:divBdr>
                          <w:divsChild>
                            <w:div w:id="1988893359">
                              <w:marLeft w:val="0"/>
                              <w:marRight w:val="0"/>
                              <w:marTop w:val="0"/>
                              <w:marBottom w:val="0"/>
                              <w:divBdr>
                                <w:top w:val="none" w:sz="0" w:space="0" w:color="auto"/>
                                <w:left w:val="none" w:sz="0" w:space="0" w:color="auto"/>
                                <w:bottom w:val="none" w:sz="0" w:space="0" w:color="auto"/>
                                <w:right w:val="none" w:sz="0" w:space="0" w:color="auto"/>
                              </w:divBdr>
                              <w:divsChild>
                                <w:div w:id="137627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7329524">
      <w:bodyDiv w:val="1"/>
      <w:marLeft w:val="0"/>
      <w:marRight w:val="0"/>
      <w:marTop w:val="0"/>
      <w:marBottom w:val="0"/>
      <w:divBdr>
        <w:top w:val="none" w:sz="0" w:space="0" w:color="auto"/>
        <w:left w:val="none" w:sz="0" w:space="0" w:color="auto"/>
        <w:bottom w:val="none" w:sz="0" w:space="0" w:color="auto"/>
        <w:right w:val="none" w:sz="0" w:space="0" w:color="auto"/>
      </w:divBdr>
    </w:div>
    <w:div w:id="1600141408">
      <w:bodyDiv w:val="1"/>
      <w:marLeft w:val="0"/>
      <w:marRight w:val="0"/>
      <w:marTop w:val="0"/>
      <w:marBottom w:val="0"/>
      <w:divBdr>
        <w:top w:val="none" w:sz="0" w:space="0" w:color="auto"/>
        <w:left w:val="none" w:sz="0" w:space="0" w:color="auto"/>
        <w:bottom w:val="none" w:sz="0" w:space="0" w:color="auto"/>
        <w:right w:val="none" w:sz="0" w:space="0" w:color="auto"/>
      </w:divBdr>
    </w:div>
    <w:div w:id="1607493705">
      <w:bodyDiv w:val="1"/>
      <w:marLeft w:val="0"/>
      <w:marRight w:val="0"/>
      <w:marTop w:val="0"/>
      <w:marBottom w:val="0"/>
      <w:divBdr>
        <w:top w:val="none" w:sz="0" w:space="0" w:color="auto"/>
        <w:left w:val="none" w:sz="0" w:space="0" w:color="auto"/>
        <w:bottom w:val="none" w:sz="0" w:space="0" w:color="auto"/>
        <w:right w:val="none" w:sz="0" w:space="0" w:color="auto"/>
      </w:divBdr>
      <w:divsChild>
        <w:div w:id="1646397940">
          <w:marLeft w:val="0"/>
          <w:marRight w:val="0"/>
          <w:marTop w:val="0"/>
          <w:marBottom w:val="0"/>
          <w:divBdr>
            <w:top w:val="none" w:sz="0" w:space="0" w:color="auto"/>
            <w:left w:val="none" w:sz="0" w:space="0" w:color="auto"/>
            <w:bottom w:val="none" w:sz="0" w:space="0" w:color="auto"/>
            <w:right w:val="none" w:sz="0" w:space="0" w:color="auto"/>
          </w:divBdr>
        </w:div>
        <w:div w:id="1010333331">
          <w:marLeft w:val="0"/>
          <w:marRight w:val="0"/>
          <w:marTop w:val="0"/>
          <w:marBottom w:val="0"/>
          <w:divBdr>
            <w:top w:val="none" w:sz="0" w:space="0" w:color="auto"/>
            <w:left w:val="none" w:sz="0" w:space="0" w:color="auto"/>
            <w:bottom w:val="none" w:sz="0" w:space="0" w:color="auto"/>
            <w:right w:val="none" w:sz="0" w:space="0" w:color="auto"/>
          </w:divBdr>
        </w:div>
        <w:div w:id="1831941070">
          <w:marLeft w:val="0"/>
          <w:marRight w:val="0"/>
          <w:marTop w:val="0"/>
          <w:marBottom w:val="0"/>
          <w:divBdr>
            <w:top w:val="none" w:sz="0" w:space="0" w:color="auto"/>
            <w:left w:val="none" w:sz="0" w:space="0" w:color="auto"/>
            <w:bottom w:val="none" w:sz="0" w:space="0" w:color="auto"/>
            <w:right w:val="none" w:sz="0" w:space="0" w:color="auto"/>
          </w:divBdr>
        </w:div>
        <w:div w:id="1051614531">
          <w:marLeft w:val="0"/>
          <w:marRight w:val="0"/>
          <w:marTop w:val="0"/>
          <w:marBottom w:val="0"/>
          <w:divBdr>
            <w:top w:val="none" w:sz="0" w:space="0" w:color="auto"/>
            <w:left w:val="none" w:sz="0" w:space="0" w:color="auto"/>
            <w:bottom w:val="none" w:sz="0" w:space="0" w:color="auto"/>
            <w:right w:val="none" w:sz="0" w:space="0" w:color="auto"/>
          </w:divBdr>
        </w:div>
      </w:divsChild>
    </w:div>
    <w:div w:id="1641878960">
      <w:bodyDiv w:val="1"/>
      <w:marLeft w:val="0"/>
      <w:marRight w:val="0"/>
      <w:marTop w:val="0"/>
      <w:marBottom w:val="0"/>
      <w:divBdr>
        <w:top w:val="none" w:sz="0" w:space="0" w:color="auto"/>
        <w:left w:val="none" w:sz="0" w:space="0" w:color="auto"/>
        <w:bottom w:val="none" w:sz="0" w:space="0" w:color="auto"/>
        <w:right w:val="none" w:sz="0" w:space="0" w:color="auto"/>
      </w:divBdr>
    </w:div>
    <w:div w:id="1674607883">
      <w:bodyDiv w:val="1"/>
      <w:marLeft w:val="0"/>
      <w:marRight w:val="0"/>
      <w:marTop w:val="0"/>
      <w:marBottom w:val="0"/>
      <w:divBdr>
        <w:top w:val="none" w:sz="0" w:space="0" w:color="auto"/>
        <w:left w:val="none" w:sz="0" w:space="0" w:color="auto"/>
        <w:bottom w:val="none" w:sz="0" w:space="0" w:color="auto"/>
        <w:right w:val="none" w:sz="0" w:space="0" w:color="auto"/>
      </w:divBdr>
    </w:div>
    <w:div w:id="1680306846">
      <w:bodyDiv w:val="1"/>
      <w:marLeft w:val="0"/>
      <w:marRight w:val="0"/>
      <w:marTop w:val="0"/>
      <w:marBottom w:val="0"/>
      <w:divBdr>
        <w:top w:val="none" w:sz="0" w:space="0" w:color="auto"/>
        <w:left w:val="none" w:sz="0" w:space="0" w:color="auto"/>
        <w:bottom w:val="none" w:sz="0" w:space="0" w:color="auto"/>
        <w:right w:val="none" w:sz="0" w:space="0" w:color="auto"/>
      </w:divBdr>
    </w:div>
    <w:div w:id="1730881858">
      <w:bodyDiv w:val="1"/>
      <w:marLeft w:val="0"/>
      <w:marRight w:val="0"/>
      <w:marTop w:val="0"/>
      <w:marBottom w:val="0"/>
      <w:divBdr>
        <w:top w:val="none" w:sz="0" w:space="0" w:color="auto"/>
        <w:left w:val="none" w:sz="0" w:space="0" w:color="auto"/>
        <w:bottom w:val="none" w:sz="0" w:space="0" w:color="auto"/>
        <w:right w:val="none" w:sz="0" w:space="0" w:color="auto"/>
      </w:divBdr>
      <w:divsChild>
        <w:div w:id="1756783878">
          <w:marLeft w:val="0"/>
          <w:marRight w:val="0"/>
          <w:marTop w:val="0"/>
          <w:marBottom w:val="0"/>
          <w:divBdr>
            <w:top w:val="none" w:sz="0" w:space="0" w:color="auto"/>
            <w:left w:val="none" w:sz="0" w:space="0" w:color="auto"/>
            <w:bottom w:val="none" w:sz="0" w:space="0" w:color="auto"/>
            <w:right w:val="none" w:sz="0" w:space="0" w:color="auto"/>
          </w:divBdr>
        </w:div>
      </w:divsChild>
    </w:div>
    <w:div w:id="1745301691">
      <w:bodyDiv w:val="1"/>
      <w:marLeft w:val="0"/>
      <w:marRight w:val="0"/>
      <w:marTop w:val="0"/>
      <w:marBottom w:val="0"/>
      <w:divBdr>
        <w:top w:val="none" w:sz="0" w:space="0" w:color="auto"/>
        <w:left w:val="none" w:sz="0" w:space="0" w:color="auto"/>
        <w:bottom w:val="none" w:sz="0" w:space="0" w:color="auto"/>
        <w:right w:val="none" w:sz="0" w:space="0" w:color="auto"/>
      </w:divBdr>
      <w:divsChild>
        <w:div w:id="1256522796">
          <w:marLeft w:val="0"/>
          <w:marRight w:val="0"/>
          <w:marTop w:val="0"/>
          <w:marBottom w:val="0"/>
          <w:divBdr>
            <w:top w:val="none" w:sz="0" w:space="0" w:color="auto"/>
            <w:left w:val="none" w:sz="0" w:space="0" w:color="auto"/>
            <w:bottom w:val="none" w:sz="0" w:space="0" w:color="auto"/>
            <w:right w:val="none" w:sz="0" w:space="0" w:color="auto"/>
          </w:divBdr>
        </w:div>
      </w:divsChild>
    </w:div>
    <w:div w:id="1816020864">
      <w:bodyDiv w:val="1"/>
      <w:marLeft w:val="0"/>
      <w:marRight w:val="0"/>
      <w:marTop w:val="0"/>
      <w:marBottom w:val="0"/>
      <w:divBdr>
        <w:top w:val="none" w:sz="0" w:space="0" w:color="auto"/>
        <w:left w:val="none" w:sz="0" w:space="0" w:color="auto"/>
        <w:bottom w:val="none" w:sz="0" w:space="0" w:color="auto"/>
        <w:right w:val="none" w:sz="0" w:space="0" w:color="auto"/>
      </w:divBdr>
      <w:divsChild>
        <w:div w:id="1633442198">
          <w:marLeft w:val="300"/>
          <w:marRight w:val="0"/>
          <w:marTop w:val="0"/>
          <w:marBottom w:val="0"/>
          <w:divBdr>
            <w:top w:val="none" w:sz="0" w:space="0" w:color="auto"/>
            <w:left w:val="none" w:sz="0" w:space="0" w:color="auto"/>
            <w:bottom w:val="none" w:sz="0" w:space="0" w:color="auto"/>
            <w:right w:val="none" w:sz="0" w:space="0" w:color="auto"/>
          </w:divBdr>
        </w:div>
      </w:divsChild>
    </w:div>
    <w:div w:id="1819764458">
      <w:bodyDiv w:val="1"/>
      <w:marLeft w:val="0"/>
      <w:marRight w:val="0"/>
      <w:marTop w:val="0"/>
      <w:marBottom w:val="0"/>
      <w:divBdr>
        <w:top w:val="none" w:sz="0" w:space="0" w:color="auto"/>
        <w:left w:val="none" w:sz="0" w:space="0" w:color="auto"/>
        <w:bottom w:val="none" w:sz="0" w:space="0" w:color="auto"/>
        <w:right w:val="none" w:sz="0" w:space="0" w:color="auto"/>
      </w:divBdr>
      <w:divsChild>
        <w:div w:id="960764252">
          <w:marLeft w:val="300"/>
          <w:marRight w:val="0"/>
          <w:marTop w:val="0"/>
          <w:marBottom w:val="0"/>
          <w:divBdr>
            <w:top w:val="none" w:sz="0" w:space="0" w:color="auto"/>
            <w:left w:val="none" w:sz="0" w:space="0" w:color="auto"/>
            <w:bottom w:val="none" w:sz="0" w:space="0" w:color="auto"/>
            <w:right w:val="none" w:sz="0" w:space="0" w:color="auto"/>
          </w:divBdr>
        </w:div>
        <w:div w:id="1402406387">
          <w:marLeft w:val="300"/>
          <w:marRight w:val="0"/>
          <w:marTop w:val="0"/>
          <w:marBottom w:val="0"/>
          <w:divBdr>
            <w:top w:val="none" w:sz="0" w:space="0" w:color="auto"/>
            <w:left w:val="none" w:sz="0" w:space="0" w:color="auto"/>
            <w:bottom w:val="none" w:sz="0" w:space="0" w:color="auto"/>
            <w:right w:val="none" w:sz="0" w:space="0" w:color="auto"/>
          </w:divBdr>
        </w:div>
        <w:div w:id="1928995711">
          <w:marLeft w:val="300"/>
          <w:marRight w:val="0"/>
          <w:marTop w:val="0"/>
          <w:marBottom w:val="0"/>
          <w:divBdr>
            <w:top w:val="none" w:sz="0" w:space="0" w:color="auto"/>
            <w:left w:val="none" w:sz="0" w:space="0" w:color="auto"/>
            <w:bottom w:val="none" w:sz="0" w:space="0" w:color="auto"/>
            <w:right w:val="none" w:sz="0" w:space="0" w:color="auto"/>
          </w:divBdr>
        </w:div>
      </w:divsChild>
    </w:div>
    <w:div w:id="1848666428">
      <w:bodyDiv w:val="1"/>
      <w:marLeft w:val="0"/>
      <w:marRight w:val="0"/>
      <w:marTop w:val="0"/>
      <w:marBottom w:val="0"/>
      <w:divBdr>
        <w:top w:val="none" w:sz="0" w:space="0" w:color="auto"/>
        <w:left w:val="none" w:sz="0" w:space="0" w:color="auto"/>
        <w:bottom w:val="none" w:sz="0" w:space="0" w:color="auto"/>
        <w:right w:val="none" w:sz="0" w:space="0" w:color="auto"/>
      </w:divBdr>
    </w:div>
    <w:div w:id="1857503563">
      <w:bodyDiv w:val="1"/>
      <w:marLeft w:val="0"/>
      <w:marRight w:val="0"/>
      <w:marTop w:val="0"/>
      <w:marBottom w:val="0"/>
      <w:divBdr>
        <w:top w:val="none" w:sz="0" w:space="0" w:color="auto"/>
        <w:left w:val="none" w:sz="0" w:space="0" w:color="auto"/>
        <w:bottom w:val="none" w:sz="0" w:space="0" w:color="auto"/>
        <w:right w:val="none" w:sz="0" w:space="0" w:color="auto"/>
      </w:divBdr>
    </w:div>
    <w:div w:id="1870292059">
      <w:bodyDiv w:val="1"/>
      <w:marLeft w:val="0"/>
      <w:marRight w:val="0"/>
      <w:marTop w:val="0"/>
      <w:marBottom w:val="0"/>
      <w:divBdr>
        <w:top w:val="none" w:sz="0" w:space="0" w:color="auto"/>
        <w:left w:val="none" w:sz="0" w:space="0" w:color="auto"/>
        <w:bottom w:val="none" w:sz="0" w:space="0" w:color="auto"/>
        <w:right w:val="none" w:sz="0" w:space="0" w:color="auto"/>
      </w:divBdr>
      <w:divsChild>
        <w:div w:id="259729307">
          <w:marLeft w:val="0"/>
          <w:marRight w:val="0"/>
          <w:marTop w:val="0"/>
          <w:marBottom w:val="0"/>
          <w:divBdr>
            <w:top w:val="none" w:sz="0" w:space="0" w:color="auto"/>
            <w:left w:val="none" w:sz="0" w:space="0" w:color="auto"/>
            <w:bottom w:val="none" w:sz="0" w:space="0" w:color="auto"/>
            <w:right w:val="none" w:sz="0" w:space="0" w:color="auto"/>
          </w:divBdr>
          <w:divsChild>
            <w:div w:id="2045130369">
              <w:marLeft w:val="0"/>
              <w:marRight w:val="0"/>
              <w:marTop w:val="0"/>
              <w:marBottom w:val="0"/>
              <w:divBdr>
                <w:top w:val="none" w:sz="0" w:space="0" w:color="auto"/>
                <w:left w:val="none" w:sz="0" w:space="0" w:color="auto"/>
                <w:bottom w:val="none" w:sz="0" w:space="0" w:color="auto"/>
                <w:right w:val="none" w:sz="0" w:space="0" w:color="auto"/>
              </w:divBdr>
              <w:divsChild>
                <w:div w:id="2018460643">
                  <w:marLeft w:val="0"/>
                  <w:marRight w:val="0"/>
                  <w:marTop w:val="0"/>
                  <w:marBottom w:val="0"/>
                  <w:divBdr>
                    <w:top w:val="none" w:sz="0" w:space="0" w:color="auto"/>
                    <w:left w:val="none" w:sz="0" w:space="0" w:color="auto"/>
                    <w:bottom w:val="none" w:sz="0" w:space="0" w:color="auto"/>
                    <w:right w:val="none" w:sz="0" w:space="0" w:color="auto"/>
                  </w:divBdr>
                  <w:divsChild>
                    <w:div w:id="43023538">
                      <w:marLeft w:val="0"/>
                      <w:marRight w:val="0"/>
                      <w:marTop w:val="0"/>
                      <w:marBottom w:val="0"/>
                      <w:divBdr>
                        <w:top w:val="none" w:sz="0" w:space="0" w:color="auto"/>
                        <w:left w:val="none" w:sz="0" w:space="0" w:color="auto"/>
                        <w:bottom w:val="none" w:sz="0" w:space="0" w:color="auto"/>
                        <w:right w:val="none" w:sz="0" w:space="0" w:color="auto"/>
                      </w:divBdr>
                      <w:divsChild>
                        <w:div w:id="246311091">
                          <w:marLeft w:val="0"/>
                          <w:marRight w:val="0"/>
                          <w:marTop w:val="0"/>
                          <w:marBottom w:val="0"/>
                          <w:divBdr>
                            <w:top w:val="none" w:sz="0" w:space="0" w:color="auto"/>
                            <w:left w:val="none" w:sz="0" w:space="0" w:color="auto"/>
                            <w:bottom w:val="none" w:sz="0" w:space="0" w:color="auto"/>
                            <w:right w:val="none" w:sz="0" w:space="0" w:color="auto"/>
                          </w:divBdr>
                          <w:divsChild>
                            <w:div w:id="276445992">
                              <w:marLeft w:val="0"/>
                              <w:marRight w:val="0"/>
                              <w:marTop w:val="0"/>
                              <w:marBottom w:val="0"/>
                              <w:divBdr>
                                <w:top w:val="none" w:sz="0" w:space="0" w:color="auto"/>
                                <w:left w:val="none" w:sz="0" w:space="0" w:color="auto"/>
                                <w:bottom w:val="none" w:sz="0" w:space="0" w:color="auto"/>
                                <w:right w:val="none" w:sz="0" w:space="0" w:color="auto"/>
                              </w:divBdr>
                              <w:divsChild>
                                <w:div w:id="176949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0870621">
      <w:bodyDiv w:val="1"/>
      <w:marLeft w:val="0"/>
      <w:marRight w:val="0"/>
      <w:marTop w:val="0"/>
      <w:marBottom w:val="0"/>
      <w:divBdr>
        <w:top w:val="none" w:sz="0" w:space="0" w:color="auto"/>
        <w:left w:val="none" w:sz="0" w:space="0" w:color="auto"/>
        <w:bottom w:val="none" w:sz="0" w:space="0" w:color="auto"/>
        <w:right w:val="none" w:sz="0" w:space="0" w:color="auto"/>
      </w:divBdr>
    </w:div>
    <w:div w:id="1950316398">
      <w:bodyDiv w:val="1"/>
      <w:marLeft w:val="0"/>
      <w:marRight w:val="0"/>
      <w:marTop w:val="0"/>
      <w:marBottom w:val="0"/>
      <w:divBdr>
        <w:top w:val="none" w:sz="0" w:space="0" w:color="auto"/>
        <w:left w:val="none" w:sz="0" w:space="0" w:color="auto"/>
        <w:bottom w:val="none" w:sz="0" w:space="0" w:color="auto"/>
        <w:right w:val="none" w:sz="0" w:space="0" w:color="auto"/>
      </w:divBdr>
      <w:divsChild>
        <w:div w:id="183980734">
          <w:marLeft w:val="0"/>
          <w:marRight w:val="0"/>
          <w:marTop w:val="0"/>
          <w:marBottom w:val="0"/>
          <w:divBdr>
            <w:top w:val="none" w:sz="0" w:space="0" w:color="auto"/>
            <w:left w:val="none" w:sz="0" w:space="0" w:color="auto"/>
            <w:bottom w:val="none" w:sz="0" w:space="0" w:color="auto"/>
            <w:right w:val="none" w:sz="0" w:space="0" w:color="auto"/>
          </w:divBdr>
          <w:divsChild>
            <w:div w:id="1240141548">
              <w:marLeft w:val="0"/>
              <w:marRight w:val="0"/>
              <w:marTop w:val="0"/>
              <w:marBottom w:val="0"/>
              <w:divBdr>
                <w:top w:val="none" w:sz="0" w:space="0" w:color="auto"/>
                <w:left w:val="none" w:sz="0" w:space="0" w:color="auto"/>
                <w:bottom w:val="none" w:sz="0" w:space="0" w:color="auto"/>
                <w:right w:val="none" w:sz="0" w:space="0" w:color="auto"/>
              </w:divBdr>
              <w:divsChild>
                <w:div w:id="2038432693">
                  <w:marLeft w:val="0"/>
                  <w:marRight w:val="0"/>
                  <w:marTop w:val="0"/>
                  <w:marBottom w:val="0"/>
                  <w:divBdr>
                    <w:top w:val="none" w:sz="0" w:space="0" w:color="auto"/>
                    <w:left w:val="none" w:sz="0" w:space="0" w:color="auto"/>
                    <w:bottom w:val="none" w:sz="0" w:space="0" w:color="auto"/>
                    <w:right w:val="none" w:sz="0" w:space="0" w:color="auto"/>
                  </w:divBdr>
                  <w:divsChild>
                    <w:div w:id="1208254349">
                      <w:marLeft w:val="0"/>
                      <w:marRight w:val="0"/>
                      <w:marTop w:val="0"/>
                      <w:marBottom w:val="0"/>
                      <w:divBdr>
                        <w:top w:val="none" w:sz="0" w:space="0" w:color="auto"/>
                        <w:left w:val="none" w:sz="0" w:space="0" w:color="auto"/>
                        <w:bottom w:val="none" w:sz="0" w:space="0" w:color="auto"/>
                        <w:right w:val="none" w:sz="0" w:space="0" w:color="auto"/>
                      </w:divBdr>
                      <w:divsChild>
                        <w:div w:id="164248906">
                          <w:marLeft w:val="0"/>
                          <w:marRight w:val="0"/>
                          <w:marTop w:val="0"/>
                          <w:marBottom w:val="0"/>
                          <w:divBdr>
                            <w:top w:val="none" w:sz="0" w:space="0" w:color="auto"/>
                            <w:left w:val="none" w:sz="0" w:space="0" w:color="auto"/>
                            <w:bottom w:val="none" w:sz="0" w:space="0" w:color="auto"/>
                            <w:right w:val="none" w:sz="0" w:space="0" w:color="auto"/>
                          </w:divBdr>
                          <w:divsChild>
                            <w:div w:id="800807074">
                              <w:marLeft w:val="0"/>
                              <w:marRight w:val="0"/>
                              <w:marTop w:val="0"/>
                              <w:marBottom w:val="0"/>
                              <w:divBdr>
                                <w:top w:val="none" w:sz="0" w:space="0" w:color="auto"/>
                                <w:left w:val="none" w:sz="0" w:space="0" w:color="auto"/>
                                <w:bottom w:val="none" w:sz="0" w:space="0" w:color="auto"/>
                                <w:right w:val="none" w:sz="0" w:space="0" w:color="auto"/>
                              </w:divBdr>
                              <w:divsChild>
                                <w:div w:id="8966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9886736">
      <w:bodyDiv w:val="1"/>
      <w:marLeft w:val="0"/>
      <w:marRight w:val="0"/>
      <w:marTop w:val="0"/>
      <w:marBottom w:val="0"/>
      <w:divBdr>
        <w:top w:val="none" w:sz="0" w:space="0" w:color="auto"/>
        <w:left w:val="none" w:sz="0" w:space="0" w:color="auto"/>
        <w:bottom w:val="none" w:sz="0" w:space="0" w:color="auto"/>
        <w:right w:val="none" w:sz="0" w:space="0" w:color="auto"/>
      </w:divBdr>
    </w:div>
    <w:div w:id="2020548260">
      <w:bodyDiv w:val="1"/>
      <w:marLeft w:val="0"/>
      <w:marRight w:val="0"/>
      <w:marTop w:val="0"/>
      <w:marBottom w:val="0"/>
      <w:divBdr>
        <w:top w:val="none" w:sz="0" w:space="0" w:color="auto"/>
        <w:left w:val="none" w:sz="0" w:space="0" w:color="auto"/>
        <w:bottom w:val="none" w:sz="0" w:space="0" w:color="auto"/>
        <w:right w:val="none" w:sz="0" w:space="0" w:color="auto"/>
      </w:divBdr>
    </w:div>
    <w:div w:id="2042707583">
      <w:bodyDiv w:val="1"/>
      <w:marLeft w:val="0"/>
      <w:marRight w:val="0"/>
      <w:marTop w:val="0"/>
      <w:marBottom w:val="0"/>
      <w:divBdr>
        <w:top w:val="none" w:sz="0" w:space="0" w:color="auto"/>
        <w:left w:val="none" w:sz="0" w:space="0" w:color="auto"/>
        <w:bottom w:val="none" w:sz="0" w:space="0" w:color="auto"/>
        <w:right w:val="none" w:sz="0" w:space="0" w:color="auto"/>
      </w:divBdr>
    </w:div>
    <w:div w:id="2049991800">
      <w:bodyDiv w:val="1"/>
      <w:marLeft w:val="0"/>
      <w:marRight w:val="0"/>
      <w:marTop w:val="0"/>
      <w:marBottom w:val="0"/>
      <w:divBdr>
        <w:top w:val="none" w:sz="0" w:space="0" w:color="auto"/>
        <w:left w:val="none" w:sz="0" w:space="0" w:color="auto"/>
        <w:bottom w:val="none" w:sz="0" w:space="0" w:color="auto"/>
        <w:right w:val="none" w:sz="0" w:space="0" w:color="auto"/>
      </w:divBdr>
    </w:div>
    <w:div w:id="212915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itu.int/ITU-T/recommendations/rec.aspx?rec=12914" TargetMode="External"/><Relationship Id="rId671" Type="http://schemas.openxmlformats.org/officeDocument/2006/relationships/hyperlink" Target="https://www.itu.int/ITU-T/recommendations/rec.aspx?rec=11634" TargetMode="External"/><Relationship Id="rId769" Type="http://schemas.openxmlformats.org/officeDocument/2006/relationships/hyperlink" Target="https://www.itu.int/ITU-T/recommendations/rec.aspx?id=13389&amp;lang=en" TargetMode="External"/><Relationship Id="rId976" Type="http://schemas.openxmlformats.org/officeDocument/2006/relationships/hyperlink" Target="https://www.itu.int/en/ITU-T/Workshops-and-Seminars/standardization/20180326/Pages/default.aspx" TargetMode="External"/><Relationship Id="rId21" Type="http://schemas.openxmlformats.org/officeDocument/2006/relationships/hyperlink" Target="http://www.itu.int/pub/T-RES-T.70-2016" TargetMode="External"/><Relationship Id="rId324" Type="http://schemas.openxmlformats.org/officeDocument/2006/relationships/hyperlink" Target="http://www.itu.int/ITU-T/recommendations/rec.aspx?rec=877" TargetMode="External"/><Relationship Id="rId531" Type="http://schemas.openxmlformats.org/officeDocument/2006/relationships/hyperlink" Target="http://www.itu.int/ITU-T/recommendations/rec.aspx?rec=11824" TargetMode="External"/><Relationship Id="rId629" Type="http://schemas.openxmlformats.org/officeDocument/2006/relationships/hyperlink" Target="https://www.itu.int/rec/T-REC-X.1500-201803-I!Amd12" TargetMode="External"/><Relationship Id="rId170" Type="http://schemas.openxmlformats.org/officeDocument/2006/relationships/hyperlink" Target="https://www.itu.int/ITU-T/recommendations/rec.aspx?id=13686" TargetMode="External"/><Relationship Id="rId836" Type="http://schemas.openxmlformats.org/officeDocument/2006/relationships/hyperlink" Target="http://www.itu.int/pub/publications.aspx?lang=en&amp;parent=T-TUT-CCICT-2017" TargetMode="External"/><Relationship Id="rId1021" Type="http://schemas.openxmlformats.org/officeDocument/2006/relationships/hyperlink" Target="http://emfguide.itu.int/emfguide.html" TargetMode="External"/><Relationship Id="rId268" Type="http://schemas.openxmlformats.org/officeDocument/2006/relationships/hyperlink" Target="https://www.itu.int/ITU-T/recommendations/rec.aspx?id=13176" TargetMode="External"/><Relationship Id="rId475" Type="http://schemas.openxmlformats.org/officeDocument/2006/relationships/hyperlink" Target="https://www.itu.int/ITU-T/recommendations/rec.aspx?id=13097&amp;lang=en" TargetMode="External"/><Relationship Id="rId682" Type="http://schemas.openxmlformats.org/officeDocument/2006/relationships/hyperlink" Target="http://www.itu.int/ITU-T/recommendations/rec.aspx?rec=13140" TargetMode="External"/><Relationship Id="rId903" Type="http://schemas.openxmlformats.org/officeDocument/2006/relationships/hyperlink" Target="http://www.itu.int/pub/publications.aspx?lang=en&amp;parent=T-TUT-SMARTCITY-2017-5" TargetMode="External"/><Relationship Id="rId32" Type="http://schemas.openxmlformats.org/officeDocument/2006/relationships/hyperlink" Target="https://www.itu.int/ITU-T/recommendations/rec.aspx?id=13579&amp;lang=en" TargetMode="External"/><Relationship Id="rId128" Type="http://schemas.openxmlformats.org/officeDocument/2006/relationships/hyperlink" Target="http://www.itu.int/ITU-T/recommendations/rec.aspx?rec=12925" TargetMode="External"/><Relationship Id="rId335" Type="http://schemas.openxmlformats.org/officeDocument/2006/relationships/hyperlink" Target="http://www.itu.int/ITU-T/recommendations/rec.aspx?rec=13078" TargetMode="External"/><Relationship Id="rId542" Type="http://schemas.openxmlformats.org/officeDocument/2006/relationships/hyperlink" Target="https://www.itu.int/ITU-T/recommendations/rec.aspx?id=13565&amp;lang=en" TargetMode="External"/><Relationship Id="rId987" Type="http://schemas.openxmlformats.org/officeDocument/2006/relationships/hyperlink" Target="https://www.itu.int/en/ITU-T/Workshops-and-Seminars/20180723/Pages/default.aspx" TargetMode="External"/><Relationship Id="rId181" Type="http://schemas.openxmlformats.org/officeDocument/2006/relationships/hyperlink" Target="https://www.itu.int/ifa/t/fg/swm/docs/Draft_Deliverables/fg-swm-i-0080-contribution_from_UNESCO_Project_Classifications.zip" TargetMode="External"/><Relationship Id="rId402" Type="http://schemas.openxmlformats.org/officeDocument/2006/relationships/hyperlink" Target="file://C:\_Euchner\_ITU-T\SDG\describes%20flexible%20access%20networks%20using%20optical%20fibre%20technology%20based%20on%20ITU-T%20Rec.%20G.983.1.%20Specifically,%20it%20describes%20the%20functions%20that%20extend%20ITU-T%20Rec.%20G.983.1%20to%20enable%20survivability-protection%20enhancements%20for%20the%20delivery%20of%20highly%20reliable%20services.%20It%20describes%20B-PON%20survivability%20architectures,%20protection%20performance%20criteria,%20and%20protection-switching%20criteria%20and%20protocols.http:\www.itu.int\ITU-T\recommendations\rec.aspx?rec=5613" TargetMode="External"/><Relationship Id="rId847" Type="http://schemas.openxmlformats.org/officeDocument/2006/relationships/hyperlink" Target="http://www.itu.int/ITU-T/recommendations/rec.aspx?rec=12138" TargetMode="External"/><Relationship Id="rId1032" Type="http://schemas.openxmlformats.org/officeDocument/2006/relationships/hyperlink" Target="http://www.etsi.org/news-events/events/1217-towards-setting-environmental-requirements-for-5g" TargetMode="External"/><Relationship Id="rId279" Type="http://schemas.openxmlformats.org/officeDocument/2006/relationships/hyperlink" Target="https://www.itu.int/ITU-T/recommendations/rec.aspx?id=13689&amp;lang=en" TargetMode="External"/><Relationship Id="rId486" Type="http://schemas.openxmlformats.org/officeDocument/2006/relationships/hyperlink" Target="http://www.itu.int/ITU-T/recommendations/rec.aspx?rec=12015" TargetMode="External"/><Relationship Id="rId693" Type="http://schemas.openxmlformats.org/officeDocument/2006/relationships/hyperlink" Target="https://www.itu.int/ITU-T/recommendations/rec.aspx?id=13714&amp;lang=en" TargetMode="External"/><Relationship Id="rId707" Type="http://schemas.openxmlformats.org/officeDocument/2006/relationships/hyperlink" Target="https://www.itu.int/en/ITU-T/focusgroups/dpm/Pages/default.aspx" TargetMode="External"/><Relationship Id="rId914" Type="http://schemas.openxmlformats.org/officeDocument/2006/relationships/hyperlink" Target="http://www.itu.int/pub/T-TUT-IPTV-2015-H721" TargetMode="External"/><Relationship Id="rId43" Type="http://schemas.openxmlformats.org/officeDocument/2006/relationships/hyperlink" Target="http://www.itu.int/ITU-T/recommendations/rec.aspx?rec=12430" TargetMode="External"/><Relationship Id="rId139" Type="http://schemas.openxmlformats.org/officeDocument/2006/relationships/hyperlink" Target="https://www.itu.int/ITU-T/recommendations/rec.aspx?id=13677" TargetMode="External"/><Relationship Id="rId346" Type="http://schemas.openxmlformats.org/officeDocument/2006/relationships/hyperlink" Target="http://www.itu.int/ITU-T/recommendations/rec.aspx?rec=8755" TargetMode="External"/><Relationship Id="rId553" Type="http://schemas.openxmlformats.org/officeDocument/2006/relationships/hyperlink" Target="http://www.itu.int/ITU-T/recommendations/rec.aspx?id=5649&amp;lang=en" TargetMode="External"/><Relationship Id="rId760" Type="http://schemas.openxmlformats.org/officeDocument/2006/relationships/hyperlink" Target="https://www.itu.int/ITU-T/recommendations/rec.aspx?id=13640&amp;lang=en" TargetMode="External"/><Relationship Id="rId998" Type="http://schemas.openxmlformats.org/officeDocument/2006/relationships/hyperlink" Target="http://www.itu.int/oth/T230100000B/en" TargetMode="External"/><Relationship Id="rId192" Type="http://schemas.openxmlformats.org/officeDocument/2006/relationships/hyperlink" Target="mailto:https://www.itu.int/ITU-T/recommendations/rec.aspx?id=13479&amp;lang=en" TargetMode="External"/><Relationship Id="rId206" Type="http://schemas.openxmlformats.org/officeDocument/2006/relationships/hyperlink" Target="http://www.itu.int/en/ITU-T/Workshops-and-Seminars/201703/Pages/default.aspx" TargetMode="External"/><Relationship Id="rId413" Type="http://schemas.openxmlformats.org/officeDocument/2006/relationships/hyperlink" Target="http://www.itu.int/ITU-T/recommendations/rec.aspx?rec=11640" TargetMode="External"/><Relationship Id="rId858" Type="http://schemas.openxmlformats.org/officeDocument/2006/relationships/hyperlink" Target="http://www.itu.int/ITU-T/recommendations/rec.aspx?rec=8780" TargetMode="External"/><Relationship Id="rId1043" Type="http://schemas.openxmlformats.org/officeDocument/2006/relationships/hyperlink" Target="https://www.itu.int/en/ITU-T/ssc/201804/Pages/default.aspx" TargetMode="External"/><Relationship Id="rId497" Type="http://schemas.openxmlformats.org/officeDocument/2006/relationships/hyperlink" Target="https://www.itu.int/ITU-T/recommendations/rec.aspx?id=13323&amp;lang=en" TargetMode="External"/><Relationship Id="rId620" Type="http://schemas.openxmlformats.org/officeDocument/2006/relationships/hyperlink" Target="https://www.itu.int/ITU-T/recommendations/rec.aspx?rec=13731" TargetMode="External"/><Relationship Id="rId718" Type="http://schemas.openxmlformats.org/officeDocument/2006/relationships/hyperlink" Target="http://www.itu.int/ITU-T/recommendations/rec.aspx?rec=12228" TargetMode="External"/><Relationship Id="rId925" Type="http://schemas.openxmlformats.org/officeDocument/2006/relationships/hyperlink" Target="https://www.itu.int/en/ITU-T/Pages/default.aspx" TargetMode="External"/><Relationship Id="rId357" Type="http://schemas.openxmlformats.org/officeDocument/2006/relationships/hyperlink" Target="https://www.itu.int/ITU-T/recommendations/rec.aspx?id=13519&amp;lang=en" TargetMode="External"/><Relationship Id="rId54" Type="http://schemas.openxmlformats.org/officeDocument/2006/relationships/hyperlink" Target="http://www.itu.int/rec/T-REC-L.Sup33-201610-I/en" TargetMode="External"/><Relationship Id="rId217" Type="http://schemas.openxmlformats.org/officeDocument/2006/relationships/hyperlink" Target="https://www.itu.int/ITU-T/recommendations/rec.aspx?id=13696&amp;lang=en" TargetMode="External"/><Relationship Id="rId564" Type="http://schemas.openxmlformats.org/officeDocument/2006/relationships/hyperlink" Target="https://www.itu.int/ITU-T/recommendations/rec.aspx?id=13658" TargetMode="External"/><Relationship Id="rId771" Type="http://schemas.openxmlformats.org/officeDocument/2006/relationships/hyperlink" Target="https://www.itu.int/ITU-T/recommendations/rec.aspx?id=13390&amp;lang=en" TargetMode="External"/><Relationship Id="rId869" Type="http://schemas.openxmlformats.org/officeDocument/2006/relationships/hyperlink" Target="http://www.itu.int/ITU-T/recommendations/rec.aspx?id=11721&amp;lang=en" TargetMode="External"/><Relationship Id="rId424" Type="http://schemas.openxmlformats.org/officeDocument/2006/relationships/hyperlink" Target="http://www.itu.int/ITU-T/recommendations/rec.aspx?rec=12562" TargetMode="External"/><Relationship Id="rId631" Type="http://schemas.openxmlformats.org/officeDocument/2006/relationships/hyperlink" Target="http://www.itu.int/ITU-T/recommendations/rec.aspx?id=12040&amp;lang=en" TargetMode="External"/><Relationship Id="rId729" Type="http://schemas.openxmlformats.org/officeDocument/2006/relationships/hyperlink" Target="https://www.itu.int/ITU-T/recommendations/rec.aspx?id=13265&amp;lang=en" TargetMode="External"/><Relationship Id="rId270" Type="http://schemas.openxmlformats.org/officeDocument/2006/relationships/hyperlink" Target="http://www.itu.int/ITU-T/recommendations/rec.aspx?id=13158&amp;lang=en" TargetMode="External"/><Relationship Id="rId936" Type="http://schemas.openxmlformats.org/officeDocument/2006/relationships/hyperlink" Target="https://www.itu.int/en/ITU-T/Workshops-and-Seminars/20180604/Pages/default.aspx" TargetMode="External"/><Relationship Id="rId65" Type="http://schemas.openxmlformats.org/officeDocument/2006/relationships/hyperlink" Target="http://www.itu.int/ITU-T/recommendations/rec.aspx?id=11824&amp;lang=en" TargetMode="External"/><Relationship Id="rId130" Type="http://schemas.openxmlformats.org/officeDocument/2006/relationships/hyperlink" Target="http://www.itu.int/ITU-T/recommendations/rec.aspx?rec=12926" TargetMode="External"/><Relationship Id="rId368" Type="http://schemas.openxmlformats.org/officeDocument/2006/relationships/hyperlink" Target="http://www.itu.int/ITU-T/recommendations/rec.aspx?id=7504&amp;lang=en" TargetMode="External"/><Relationship Id="rId575" Type="http://schemas.openxmlformats.org/officeDocument/2006/relationships/hyperlink" Target="https://www.itu.int/ITU-T/recommendations/rec.aspx?id=13437&amp;lang=en" TargetMode="External"/><Relationship Id="rId782" Type="http://schemas.openxmlformats.org/officeDocument/2006/relationships/hyperlink" Target="https://www.itu.int/ITU-T/recommendations/rec.aspx?id=13510&amp;lang=en" TargetMode="External"/><Relationship Id="rId228" Type="http://schemas.openxmlformats.org/officeDocument/2006/relationships/hyperlink" Target="https://www.itu.int/ITU-T/recommendations/rec.aspx?rec=11091https://www.itu.int/ITU-T/recommendations/rec.aspx?rec=11716" TargetMode="External"/><Relationship Id="rId435" Type="http://schemas.openxmlformats.org/officeDocument/2006/relationships/hyperlink" Target="http://www.itu.int/ITU-T/recommendations/rec.aspx?rec=12372" TargetMode="External"/><Relationship Id="rId642" Type="http://schemas.openxmlformats.org/officeDocument/2006/relationships/hyperlink" Target="http://www.itu.int/ITU-T/recommendations/rec.aspx?id=12852&amp;lang=en" TargetMode="External"/><Relationship Id="rId281" Type="http://schemas.openxmlformats.org/officeDocument/2006/relationships/hyperlink" Target="https://www.itu.int/ITU-T/recommendations/rec.aspx?id=13350&amp;lang=en-US" TargetMode="External"/><Relationship Id="rId502" Type="http://schemas.openxmlformats.org/officeDocument/2006/relationships/hyperlink" Target="http://www.itu.int/ITU-T/recommendations/rec.aspx?rec=12393" TargetMode="External"/><Relationship Id="rId947" Type="http://schemas.openxmlformats.org/officeDocument/2006/relationships/hyperlink" Target="https://www.itu.int/en/ITU-T/Workshops-and-Seminars/20180712/Pages/default.aspx" TargetMode="External"/><Relationship Id="rId76" Type="http://schemas.openxmlformats.org/officeDocument/2006/relationships/hyperlink" Target="https://extranet.itu.int/sites/itu-t/Roadmaps/SitePages/JCA-Cloud-Standard.aspx" TargetMode="External"/><Relationship Id="rId141" Type="http://schemas.openxmlformats.org/officeDocument/2006/relationships/hyperlink" Target="http://www.itu.int/ITU-T/recommendations/rec.aspx?rec=12934" TargetMode="External"/><Relationship Id="rId379" Type="http://schemas.openxmlformats.org/officeDocument/2006/relationships/hyperlink" Target="http://www.itu.int/ITU-T/recommendations/rec.aspx?id=12181" TargetMode="External"/><Relationship Id="rId586" Type="http://schemas.openxmlformats.org/officeDocument/2006/relationships/hyperlink" Target="https://www.itu.int/ITU-T/recommendations/rec.aspx?id=13034" TargetMode="External"/><Relationship Id="rId793" Type="http://schemas.openxmlformats.org/officeDocument/2006/relationships/hyperlink" Target="http://www.itu.int/ITU-T/recommendations/rec.aspx?rec=11669" TargetMode="External"/><Relationship Id="rId807" Type="http://schemas.openxmlformats.org/officeDocument/2006/relationships/hyperlink" Target="http://www.itu.int/ITU-T/recommendations/rec.aspx?rec=12961" TargetMode="External"/><Relationship Id="rId7" Type="http://schemas.openxmlformats.org/officeDocument/2006/relationships/endnotes" Target="endnotes.xml"/><Relationship Id="rId239" Type="http://schemas.openxmlformats.org/officeDocument/2006/relationships/hyperlink" Target="mailto:https://www.itu.int/ITU-T/recommendations/rec.aspx?id=13489&amp;lang=en" TargetMode="External"/><Relationship Id="rId446" Type="http://schemas.openxmlformats.org/officeDocument/2006/relationships/hyperlink" Target="http://www.itu.int/ITU-T/recommendations/rec.aspx?rec=11645" TargetMode="External"/><Relationship Id="rId653" Type="http://schemas.openxmlformats.org/officeDocument/2006/relationships/hyperlink" Target="http://www.itu.int/rec/T-REC-X/recommendation.asp?lang=en&amp;parent=T-REC-X.Sup27" TargetMode="External"/><Relationship Id="rId292" Type="http://schemas.openxmlformats.org/officeDocument/2006/relationships/hyperlink" Target="http://www.itu.int/ITU-T/recommendations/rec.aspx?id=13015&amp;lang=en" TargetMode="External"/><Relationship Id="rId306" Type="http://schemas.openxmlformats.org/officeDocument/2006/relationships/hyperlink" Target="https://www.itu.int/ITU-T/recommendations/rec.aspx?id=13352&amp;lang=en-US" TargetMode="External"/><Relationship Id="rId860" Type="http://schemas.openxmlformats.org/officeDocument/2006/relationships/hyperlink" Target="http://www.itu.int/ITU-T/recommendations/rec.aspx?rec=8610&amp;lang=en" TargetMode="External"/><Relationship Id="rId958" Type="http://schemas.openxmlformats.org/officeDocument/2006/relationships/hyperlink" Target="https://www.itu.int/en/ITU-T/Workshops-and-Seminars/bsg/201712/Pages/default.aspx" TargetMode="External"/><Relationship Id="rId87" Type="http://schemas.openxmlformats.org/officeDocument/2006/relationships/hyperlink" Target="https://www.itu.int/ITU-T/recommendations/rec.aspx?id=13691&amp;lang=en" TargetMode="External"/><Relationship Id="rId513" Type="http://schemas.openxmlformats.org/officeDocument/2006/relationships/hyperlink" Target="http://www.itu.int/ITU-T/recommendations/rec.aspx?rec=12815" TargetMode="External"/><Relationship Id="rId597" Type="http://schemas.openxmlformats.org/officeDocument/2006/relationships/hyperlink" Target="http://www.itu.int/ITU-T/recommendations/rec.aspx?id=12845&amp;lang=en" TargetMode="External"/><Relationship Id="rId720" Type="http://schemas.openxmlformats.org/officeDocument/2006/relationships/hyperlink" Target="http://www.itu.int/ITU-T/recommendations/rec.aspx?rec=10235" TargetMode="External"/><Relationship Id="rId818" Type="http://schemas.openxmlformats.org/officeDocument/2006/relationships/hyperlink" Target="http://www.itu.int/ITU-T/recommendations/rec.aspx?id=12150&amp;lang=en" TargetMode="External"/><Relationship Id="rId152" Type="http://schemas.openxmlformats.org/officeDocument/2006/relationships/hyperlink" Target="http://www.itu.int/ITU-T/recommendations/rec.aspx?rec=12945" TargetMode="External"/><Relationship Id="rId457" Type="http://schemas.openxmlformats.org/officeDocument/2006/relationships/hyperlink" Target="http://www.itu.int/ITU-T/recommendations/rec.aspx?rec=12376" TargetMode="External"/><Relationship Id="rId1003" Type="http://schemas.openxmlformats.org/officeDocument/2006/relationships/hyperlink" Target="http://www.itu.int/itu-t/recommendations/rec.aspx?rec=F.742" TargetMode="External"/><Relationship Id="rId664" Type="http://schemas.openxmlformats.org/officeDocument/2006/relationships/hyperlink" Target="https://www.itu.int/ITU-T/recommendations/rec.aspx?rec=12869" TargetMode="External"/><Relationship Id="rId871" Type="http://schemas.openxmlformats.org/officeDocument/2006/relationships/hyperlink" Target="file:///C:\_Euchner\_ITU-T\SDG\v" TargetMode="External"/><Relationship Id="rId969" Type="http://schemas.openxmlformats.org/officeDocument/2006/relationships/hyperlink" Target="https://www.itu.int/en/ITU-T/Workshops-and-Seminars/20180129/Pages/default.aspx" TargetMode="External"/><Relationship Id="rId14" Type="http://schemas.openxmlformats.org/officeDocument/2006/relationships/hyperlink" Target="http://www.itu.int/en/ITU-T/focusgroups/dfs/Pages/default.aspx" TargetMode="External"/><Relationship Id="rId317" Type="http://schemas.openxmlformats.org/officeDocument/2006/relationships/hyperlink" Target="https://www.itu.int/ITU-T/recommendations/rec.aspx?id=870" TargetMode="External"/><Relationship Id="rId524" Type="http://schemas.openxmlformats.org/officeDocument/2006/relationships/hyperlink" Target="http://www.itu.int/ITU-T/recommendations/rec.aspx?rec=12398" TargetMode="External"/><Relationship Id="rId731" Type="http://schemas.openxmlformats.org/officeDocument/2006/relationships/hyperlink" Target="https://www.itu.int/ITU-T/recommendations/rec.aspx?id=13385&amp;lang=en" TargetMode="External"/><Relationship Id="rId98" Type="http://schemas.openxmlformats.org/officeDocument/2006/relationships/hyperlink" Target="https://itu.int/wftp3/av-arch/jctvc-site/bitstream_exchange/draft_conformance" TargetMode="External"/><Relationship Id="rId163" Type="http://schemas.openxmlformats.org/officeDocument/2006/relationships/hyperlink" Target="http://www.itu.int/ITU-T/recommendations/rec.aspx?rec=12954" TargetMode="External"/><Relationship Id="rId370" Type="http://schemas.openxmlformats.org/officeDocument/2006/relationships/hyperlink" Target="http://www.itu.int/ITU-T/recommendations/rec.aspx?rec=6185" TargetMode="External"/><Relationship Id="rId829" Type="http://schemas.openxmlformats.org/officeDocument/2006/relationships/hyperlink" Target="http://www.itu.int/ITU-T/recommendations/rec.aspx?rec=12696" TargetMode="External"/><Relationship Id="rId1014" Type="http://schemas.openxmlformats.org/officeDocument/2006/relationships/hyperlink" Target="http://www.itu.int/pub/publications.aspx?lang=en&amp;parent=T-TUT-ICT-2014-01" TargetMode="External"/><Relationship Id="rId230" Type="http://schemas.openxmlformats.org/officeDocument/2006/relationships/hyperlink" Target="https://www.itu.int/ITU-T/recommendations/rec.aspx?rec=12220" TargetMode="External"/><Relationship Id="rId468" Type="http://schemas.openxmlformats.org/officeDocument/2006/relationships/hyperlink" Target="https://www.itu.int/ITU-T/recommendations/rec.aspx?id=13543&amp;lang=en" TargetMode="External"/><Relationship Id="rId675" Type="http://schemas.openxmlformats.org/officeDocument/2006/relationships/hyperlink" Target="http://www.itu.int/ITU-T/recommendations/rec.aspx?rec=13133" TargetMode="External"/><Relationship Id="rId882" Type="http://schemas.openxmlformats.org/officeDocument/2006/relationships/hyperlink" Target="https://www.itu.int/en/ITU-T/jca/idm/Pages/default.aspx" TargetMode="External"/><Relationship Id="rId25" Type="http://schemas.openxmlformats.org/officeDocument/2006/relationships/hyperlink" Target="https://www.itu.int/ITU-T/recommendations/rec.aspx?id=13577&amp;lang=en" TargetMode="External"/><Relationship Id="rId328" Type="http://schemas.openxmlformats.org/officeDocument/2006/relationships/hyperlink" Target="http://www.itu.int/ITU-T/recommendations/rec.aspx?rec=9366" TargetMode="External"/><Relationship Id="rId535" Type="http://schemas.openxmlformats.org/officeDocument/2006/relationships/hyperlink" Target="https://www.itu.int/rec/T-REC-G.9961-201802-I!Amd3" TargetMode="External"/><Relationship Id="rId742" Type="http://schemas.openxmlformats.org/officeDocument/2006/relationships/hyperlink" Target="http://www.itu.int/ITU-T/recommendations/rec.aspx?rec=11699" TargetMode="External"/><Relationship Id="rId174" Type="http://schemas.openxmlformats.org/officeDocument/2006/relationships/hyperlink" Target="mailto:https://www.itu.int/ITU-T/recommendations/rec.aspx?id=11947&amp;lang=en-US" TargetMode="External"/><Relationship Id="rId381" Type="http://schemas.openxmlformats.org/officeDocument/2006/relationships/hyperlink" Target="https://www.itu.int/ITU-T/recommendations/rec.aspx?id=13303&amp;lang=en-US" TargetMode="External"/><Relationship Id="rId602" Type="http://schemas.openxmlformats.org/officeDocument/2006/relationships/hyperlink" Target="https://www.itu.int/ITU-T/recommendations/rec.aspx?id=13060" TargetMode="External"/><Relationship Id="rId1025" Type="http://schemas.openxmlformats.org/officeDocument/2006/relationships/hyperlink" Target="http://www.siww.com.sg" TargetMode="External"/><Relationship Id="rId241" Type="http://schemas.openxmlformats.org/officeDocument/2006/relationships/hyperlink" Target="http://www.itu.int/ITU-T/recommendations/rec.aspx?id=12747&amp;lang=en" TargetMode="External"/><Relationship Id="rId479" Type="http://schemas.openxmlformats.org/officeDocument/2006/relationships/hyperlink" Target="http://www.itu.int/ITU-T/recommendations/rec.aspx?id=12188&amp;lang=en" TargetMode="External"/><Relationship Id="rId686" Type="http://schemas.openxmlformats.org/officeDocument/2006/relationships/hyperlink" Target="https://www.itu.int/ITU-T/recommendations/rec.aspx?id=13451&amp;lang=en" TargetMode="External"/><Relationship Id="rId893" Type="http://schemas.openxmlformats.org/officeDocument/2006/relationships/hyperlink" Target="https://www.itu.int/ITU-T/recommendations/rec.aspx?id=13489&amp;lang=en" TargetMode="External"/><Relationship Id="rId907" Type="http://schemas.openxmlformats.org/officeDocument/2006/relationships/hyperlink" Target="http://www.itu.int/en/ITU-T/climatechange/task-force-sc/Pages/default.aspx" TargetMode="External"/><Relationship Id="rId36" Type="http://schemas.openxmlformats.org/officeDocument/2006/relationships/hyperlink" Target="https://www.itu.int/ITU-T/recommendations/rec.aspx?id=13722&amp;lang=en" TargetMode="External"/><Relationship Id="rId339" Type="http://schemas.openxmlformats.org/officeDocument/2006/relationships/hyperlink" Target="http://www.itu.int/ITU-T/recommendations/rec.aspx?rec=11771" TargetMode="External"/><Relationship Id="rId546" Type="http://schemas.openxmlformats.org/officeDocument/2006/relationships/hyperlink" Target="https://www.itu.int/ITU-T/recommendations/rec.aspx?id=13786&amp;lang=en" TargetMode="External"/><Relationship Id="rId753" Type="http://schemas.openxmlformats.org/officeDocument/2006/relationships/hyperlink" Target="http://www.itu.int/ITU-T/recommendations/rec.aspx?rec=12698" TargetMode="External"/><Relationship Id="rId101" Type="http://schemas.openxmlformats.org/officeDocument/2006/relationships/hyperlink" Target="https://www.itu.int/ITU-T/recommendations/rec.aspx?id=12846&amp;lang=en" TargetMode="External"/><Relationship Id="rId185" Type="http://schemas.openxmlformats.org/officeDocument/2006/relationships/hyperlink" Target="https://www.itu.int/en/ITU-T/focusgroups/ssc/Documents/website/web-fg-ssc-0122-r7-smart_water_management_in_cities.docx" TargetMode="External"/><Relationship Id="rId406" Type="http://schemas.openxmlformats.org/officeDocument/2006/relationships/hyperlink" Target="http://www.itu.int/ITU-T/recommendations/rec.aspx?rec=9161" TargetMode="External"/><Relationship Id="rId960" Type="http://schemas.openxmlformats.org/officeDocument/2006/relationships/hyperlink" Target="https://www.itu.int/en/ITU-T/Workshops-and-Seminars/bsg/201710/Pages/default.aspx" TargetMode="External"/><Relationship Id="rId1036" Type="http://schemas.openxmlformats.org/officeDocument/2006/relationships/hyperlink" Target="https://www.itu.int/en/ITU-T/Workshops-and-Seminars/dfc/201710/Pages/default.aspx" TargetMode="External"/><Relationship Id="rId392" Type="http://schemas.openxmlformats.org/officeDocument/2006/relationships/hyperlink" Target="http://www.itu.int/ITU-T/recommendations/rec.aspx?id=12182&amp;lang=en" TargetMode="External"/><Relationship Id="rId613" Type="http://schemas.openxmlformats.org/officeDocument/2006/relationships/hyperlink" Target="https://www.itu.int/ITU-T/recommendations/rec.aspx?id=13261&amp;lang=en" TargetMode="External"/><Relationship Id="rId697" Type="http://schemas.openxmlformats.org/officeDocument/2006/relationships/hyperlink" Target="https://www.itu.int/ITU-T/recommendations/rec.aspx?id=13718&amp;lang=en" TargetMode="External"/><Relationship Id="rId820" Type="http://schemas.openxmlformats.org/officeDocument/2006/relationships/hyperlink" Target="http://www.itu.int/ITU-T/recommendations/rec.aspx?rec=11348" TargetMode="External"/><Relationship Id="rId918" Type="http://schemas.openxmlformats.org/officeDocument/2006/relationships/hyperlink" Target="https://www.itu.int/en/ITU-T/Workshops-and-Seminars/201707/Pages/default.aspx" TargetMode="External"/><Relationship Id="rId252" Type="http://schemas.openxmlformats.org/officeDocument/2006/relationships/hyperlink" Target="https://www.itu.int/ITU-T/recommendations/rec.aspx?id=13396&amp;lang=en" TargetMode="External"/><Relationship Id="rId47" Type="http://schemas.openxmlformats.org/officeDocument/2006/relationships/hyperlink" Target="http://www.itu.int/ITU-T/recommendations/rec.aspx?rec=12883" TargetMode="External"/><Relationship Id="rId112" Type="http://schemas.openxmlformats.org/officeDocument/2006/relationships/hyperlink" Target="https://www.itu.int/ITU-T/recommendations/rec.aspx?id=13382" TargetMode="External"/><Relationship Id="rId557" Type="http://schemas.openxmlformats.org/officeDocument/2006/relationships/hyperlink" Target="http://www.itu.int/ITU-T/recommendations/rec.aspx?rec=10929" TargetMode="External"/><Relationship Id="rId764" Type="http://schemas.openxmlformats.org/officeDocument/2006/relationships/hyperlink" Target="http://www.itu.int/ITU-T/recommendations/rec.aspx?rec=13028" TargetMode="External"/><Relationship Id="rId971" Type="http://schemas.openxmlformats.org/officeDocument/2006/relationships/hyperlink" Target="https://www.itu.int/en/ITU-T/Workshops-and-Seminars/20180219/Pages/default.aspx" TargetMode="External"/><Relationship Id="rId196" Type="http://schemas.openxmlformats.org/officeDocument/2006/relationships/hyperlink" Target="http://www.itu.int/ITU-T/recommendations/rec.aspx?id=12827&amp;lang=en" TargetMode="External"/><Relationship Id="rId417" Type="http://schemas.openxmlformats.org/officeDocument/2006/relationships/hyperlink" Target="http://www.itu.int/ITU-T/recommendations/rec.aspx?rec=12098" TargetMode="External"/><Relationship Id="rId624" Type="http://schemas.openxmlformats.org/officeDocument/2006/relationships/hyperlink" Target="https://www.itu.int/ITU-T/recommendations/rec.aspx?id=13725&amp;lang=en" TargetMode="External"/><Relationship Id="rId831" Type="http://schemas.openxmlformats.org/officeDocument/2006/relationships/hyperlink" Target="http://www.itu.int/ITU-T/recommendations/rec.aspx?rec=13150" TargetMode="External"/><Relationship Id="rId1047" Type="http://schemas.openxmlformats.org/officeDocument/2006/relationships/hyperlink" Target="https://www.itu.int/en/ITU-T/Workshops-and-Seminars/Smart-ABC-Incubator/Pages/default.aspx" TargetMode="External"/><Relationship Id="rId263" Type="http://schemas.openxmlformats.org/officeDocument/2006/relationships/hyperlink" Target="https://www.itu.int/ITU-T/recommendations/rec.aspx?id=13625&amp;lang=en" TargetMode="External"/><Relationship Id="rId470" Type="http://schemas.openxmlformats.org/officeDocument/2006/relationships/hyperlink" Target="http://www.itu.int/ITU-T/recommendations/rec.aspx?id=12383&amp;lang=en" TargetMode="External"/><Relationship Id="rId929" Type="http://schemas.openxmlformats.org/officeDocument/2006/relationships/hyperlink" Target="https://www.itu.int/en/ITU-T/academia/kaleidoscope/2017/Pages/default.aspx" TargetMode="External"/><Relationship Id="rId58" Type="http://schemas.openxmlformats.org/officeDocument/2006/relationships/hyperlink" Target="http://www.itu.int/rec/T-REC-Y.2071-201509-I/en" TargetMode="External"/><Relationship Id="rId123" Type="http://schemas.openxmlformats.org/officeDocument/2006/relationships/hyperlink" Target="http://www.itu.int/ITU-T/recommendations/rec.aspx?rec=12920" TargetMode="External"/><Relationship Id="rId330" Type="http://schemas.openxmlformats.org/officeDocument/2006/relationships/hyperlink" Target="http://www.itu.int/ITU-T/recommendations/rec.aspx?rec=13076" TargetMode="External"/><Relationship Id="rId568" Type="http://schemas.openxmlformats.org/officeDocument/2006/relationships/hyperlink" Target="https://www.itu.int/ITU-T/recommendations/rec.aspx?id=13667" TargetMode="External"/><Relationship Id="rId775" Type="http://schemas.openxmlformats.org/officeDocument/2006/relationships/hyperlink" Target="https://www.itu.int/ITU-T/recommendations/rec.aspx?id=13503&amp;lang=en" TargetMode="External"/><Relationship Id="rId982" Type="http://schemas.openxmlformats.org/officeDocument/2006/relationships/hyperlink" Target="https://www.itu.int/en/ITU-T/Workshops-and-Seminars/bsg/20180506/Pages/default.aspx" TargetMode="External"/><Relationship Id="rId428" Type="http://schemas.openxmlformats.org/officeDocument/2006/relationships/hyperlink" Target="http://www.itu.int/ITU-T/recommendations/rec.aspx?rec=4719" TargetMode="External"/><Relationship Id="rId635" Type="http://schemas.openxmlformats.org/officeDocument/2006/relationships/hyperlink" Target="http://www.itu.int/ITU-T/recommendations/rec.aspx?id=12039&amp;lang=en" TargetMode="External"/><Relationship Id="rId842" Type="http://schemas.openxmlformats.org/officeDocument/2006/relationships/hyperlink" Target="http://www.itu.int/ITU-T/recommendations/rec.aspx?rec=12207" TargetMode="External"/><Relationship Id="rId274" Type="http://schemas.openxmlformats.org/officeDocument/2006/relationships/hyperlink" Target="https://www.itu.int/ITU-T/recommendations/rec.aspx?id=13181" TargetMode="External"/><Relationship Id="rId481" Type="http://schemas.openxmlformats.org/officeDocument/2006/relationships/hyperlink" Target="https://www.itu.int/ITU-T/recommendations/rec.aspx?id=13319&amp;lang=en-UShttps://www.itu.int/ITU-T/recommendations/rec.aspx?id=12386" TargetMode="External"/><Relationship Id="rId702" Type="http://schemas.openxmlformats.org/officeDocument/2006/relationships/hyperlink" Target="https://www.itu.int/ITU-T/recommendations/rec.aspx?rec=13475" TargetMode="External"/><Relationship Id="rId69" Type="http://schemas.openxmlformats.org/officeDocument/2006/relationships/hyperlink" Target="http://www.itu.int/ITU-T/recommendations/rec.aspx?id=12829&amp;lang=en" TargetMode="External"/><Relationship Id="rId134" Type="http://schemas.openxmlformats.org/officeDocument/2006/relationships/hyperlink" Target="http://www.itu.int/ITU-T/recommendations/rec.aspx?rec=12931" TargetMode="External"/><Relationship Id="rId579" Type="http://schemas.openxmlformats.org/officeDocument/2006/relationships/hyperlink" Target="https://www.itu.int/ITU-T/recommendations/rec.aspx?id=13439&amp;lang=en" TargetMode="External"/><Relationship Id="rId786" Type="http://schemas.openxmlformats.org/officeDocument/2006/relationships/hyperlink" Target="https://www.itu.int/ITU-T/recommendations/rec.aspx?id=13642&amp;lang=en" TargetMode="External"/><Relationship Id="rId993" Type="http://schemas.openxmlformats.org/officeDocument/2006/relationships/hyperlink" Target="https://www.itu.int/en/ITU-T/Workshops-and-Seminars/20180917/Pages/default.aspx" TargetMode="External"/><Relationship Id="rId341" Type="http://schemas.openxmlformats.org/officeDocument/2006/relationships/hyperlink" Target="http://www.itu.int/ITU-T/recommendations/rec.aspx?rec=11334" TargetMode="External"/><Relationship Id="rId439" Type="http://schemas.openxmlformats.org/officeDocument/2006/relationships/hyperlink" Target="https://www.itu.int/rec/T-REC-G.994.1-201704-I!Amd8" TargetMode="External"/><Relationship Id="rId646" Type="http://schemas.openxmlformats.org/officeDocument/2006/relationships/hyperlink" Target="http://www.itu.int/ITU-T/recommendations/rec.aspx?id=11615&amp;lang=en" TargetMode="External"/><Relationship Id="rId201" Type="http://schemas.openxmlformats.org/officeDocument/2006/relationships/hyperlink" Target="http://www.itu.int/ITU-T/recommendations/rec.aspx?rec=13154" TargetMode="External"/><Relationship Id="rId285" Type="http://schemas.openxmlformats.org/officeDocument/2006/relationships/hyperlink" Target="http://www.itu.int/ITU-T/recommendations/rec.aspx?id=12887&amp;lang=en" TargetMode="External"/><Relationship Id="rId506" Type="http://schemas.openxmlformats.org/officeDocument/2006/relationships/hyperlink" Target="http://www.itu.int/ITU-T/recommendations/rec.aspx?rec=12012" TargetMode="External"/><Relationship Id="rId853" Type="http://schemas.openxmlformats.org/officeDocument/2006/relationships/hyperlink" Target="https://www.itu.int/ITU-T/recommendations/rec.aspx?id=13461&amp;lang=en" TargetMode="External"/><Relationship Id="rId492" Type="http://schemas.openxmlformats.org/officeDocument/2006/relationships/hyperlink" Target="http://www.itu.int/ITU-T/recommendations/rec.aspx?rec=12193" TargetMode="External"/><Relationship Id="rId713" Type="http://schemas.openxmlformats.org/officeDocument/2006/relationships/hyperlink" Target="http://www.itu.int/ITU-T/recommendations/rec.aspx?rec=12622" TargetMode="External"/><Relationship Id="rId797" Type="http://schemas.openxmlformats.org/officeDocument/2006/relationships/hyperlink" Target="https://www.itu.int/ITU-T/recommendations/rec.aspx?id=13391&amp;lang=en" TargetMode="External"/><Relationship Id="rId920" Type="http://schemas.openxmlformats.org/officeDocument/2006/relationships/hyperlink" Target="http://www.itu.int/en/ITU-T/Workshops-and-Seminars/standardization/20170402/Pages/default.aspx" TargetMode="External"/><Relationship Id="rId145" Type="http://schemas.openxmlformats.org/officeDocument/2006/relationships/hyperlink" Target="http://www.itu.int/ITU-T/recommendations/rec.aspx?rec=12938" TargetMode="External"/><Relationship Id="rId352" Type="http://schemas.openxmlformats.org/officeDocument/2006/relationships/hyperlink" Target="http://www.itu.int/ITU-T/recommendations/rec.aspx?rec=10873" TargetMode="External"/><Relationship Id="rId212" Type="http://schemas.openxmlformats.org/officeDocument/2006/relationships/hyperlink" Target="https://www.itu.int/ITU-T/recommendations/rec.aspx?id=13286&amp;lang=en" TargetMode="External"/><Relationship Id="rId657" Type="http://schemas.openxmlformats.org/officeDocument/2006/relationships/hyperlink" Target="http://www.itu.int/pub/publications.aspx?lang=en&amp;parent=T-TUT-SEC-2015" TargetMode="External"/><Relationship Id="rId864" Type="http://schemas.openxmlformats.org/officeDocument/2006/relationships/hyperlink" Target="http://www.itu.int/ITU-T/recommendations/rec.aspx?rec=8618&amp;lang=en" TargetMode="External"/><Relationship Id="rId296" Type="http://schemas.openxmlformats.org/officeDocument/2006/relationships/hyperlink" Target="https://www.itu.int/ITU-T/recommendations/rec.aspx?id=13609&amp;lang=en" TargetMode="External"/><Relationship Id="rId517" Type="http://schemas.openxmlformats.org/officeDocument/2006/relationships/hyperlink" Target="http://www.itu.int/ITU-T/recommendations/rec.aspx?rec=12010" TargetMode="External"/><Relationship Id="rId724" Type="http://schemas.openxmlformats.org/officeDocument/2006/relationships/hyperlink" Target="http://www.itu.int/ITU-T/recommendations/rec.aspx?rec=11560" TargetMode="External"/><Relationship Id="rId931" Type="http://schemas.openxmlformats.org/officeDocument/2006/relationships/hyperlink" Target="https://www.itu.int/en/ITU-T/Workshops-and-Seminars/201711/Pages/default.aspx" TargetMode="External"/><Relationship Id="rId60" Type="http://schemas.openxmlformats.org/officeDocument/2006/relationships/hyperlink" Target="http://www.itu.int/ITU-T/recommendations/rec.aspx?rec=11446" TargetMode="External"/><Relationship Id="rId156" Type="http://schemas.openxmlformats.org/officeDocument/2006/relationships/hyperlink" Target="http://www.itu.int/ITU-T/recommendations/rec.aspx?rec=12949" TargetMode="External"/><Relationship Id="rId363" Type="http://schemas.openxmlformats.org/officeDocument/2006/relationships/hyperlink" Target="https://www.itu.int/ITU-T/recommendations/rec.aspx?id=11778https://www.itu.int/ITU-T/recommendations/rec.aspx?id=11778" TargetMode="External"/><Relationship Id="rId570" Type="http://schemas.openxmlformats.org/officeDocument/2006/relationships/hyperlink" Target="https://www.itu.int/ITU-T/recommendations/rec.aspx?id=13434&amp;lang=en" TargetMode="External"/><Relationship Id="rId1007" Type="http://schemas.openxmlformats.org/officeDocument/2006/relationships/hyperlink" Target="http://wftp3.itu.int/pub/epub_shared/TSB/ITUT-Tech-Report-Specs/2016/en/flipviewerxpress.html" TargetMode="External"/><Relationship Id="rId223" Type="http://schemas.openxmlformats.org/officeDocument/2006/relationships/hyperlink" Target="https://www.itu.int/ITU-T/recommendations/rec.aspx?id=13698&amp;lang=en" TargetMode="External"/><Relationship Id="rId430" Type="http://schemas.openxmlformats.org/officeDocument/2006/relationships/hyperlink" Target="http://www.itu.int/ITU-T/recommendations/rec.aspx?rec=6117" TargetMode="External"/><Relationship Id="rId668" Type="http://schemas.openxmlformats.org/officeDocument/2006/relationships/hyperlink" Target="http://www.itu.int/ITU-T/recommendations/rec.aspx?id=9139&amp;lang=en" TargetMode="External"/><Relationship Id="rId875" Type="http://schemas.openxmlformats.org/officeDocument/2006/relationships/hyperlink" Target="http://www.itu.int/ITU-T/recommendations/rec.aspx?id=9574&amp;lang=en" TargetMode="External"/><Relationship Id="rId18" Type="http://schemas.openxmlformats.org/officeDocument/2006/relationships/hyperlink" Target="http://www.itu.int/en/ITU-T/studygroups/2017-2020/09/Documents/ITU_FGDFS_Report_IdentityandAuthentication.pdf" TargetMode="External"/><Relationship Id="rId265" Type="http://schemas.openxmlformats.org/officeDocument/2006/relationships/hyperlink" Target="https://www.itu.int/ITU-T/recommendations/rec.aspx?rec=12174" TargetMode="External"/><Relationship Id="rId472" Type="http://schemas.openxmlformats.org/officeDocument/2006/relationships/hyperlink" Target="http://www.itu.int/ITU-T/recommendations/rec.aspx?id=12550&amp;lang=en" TargetMode="External"/><Relationship Id="rId528" Type="http://schemas.openxmlformats.org/officeDocument/2006/relationships/hyperlink" Target="http://www.itu.int/ITU-T/recommendations/rec.aspx?rec=12089" TargetMode="External"/><Relationship Id="rId735" Type="http://schemas.openxmlformats.org/officeDocument/2006/relationships/hyperlink" Target="https://www.itu.int/ITU-T/recommendations/rec.aspx?id=13635&amp;lang=en" TargetMode="External"/><Relationship Id="rId900" Type="http://schemas.openxmlformats.org/officeDocument/2006/relationships/hyperlink" Target="https://www.itu.int/en/publications/Documents/tsb/2017-Implementing-ITU-T-International-Standards-to-Shape-Smart-Sustainable-Cities-The-Case-of-Singapore/files/downloads/418504-%20ITU_Case-Study-Singapore-E.pdf" TargetMode="External"/><Relationship Id="rId942" Type="http://schemas.openxmlformats.org/officeDocument/2006/relationships/hyperlink" Target="https://www.itu.int/en/ITU-T/Workshops-and-Seminars/20180530/Documents/BuenosAires-Declaration-Spanish-Final.pdf" TargetMode="External"/><Relationship Id="rId125" Type="http://schemas.openxmlformats.org/officeDocument/2006/relationships/hyperlink" Target="http://www.itu.int/ITU-T/recommendations/rec.aspx?rec=12922" TargetMode="External"/><Relationship Id="rId167" Type="http://schemas.openxmlformats.org/officeDocument/2006/relationships/hyperlink" Target="http://www.itu.int/ITU-T/recommendations/rec.aspx?rec=12163" TargetMode="External"/><Relationship Id="rId332" Type="http://schemas.openxmlformats.org/officeDocument/2006/relationships/hyperlink" Target="http://www.itu.int/ITU-T/recommendations/rec.aspx?rec=13077" TargetMode="External"/><Relationship Id="rId374" Type="http://schemas.openxmlformats.org/officeDocument/2006/relationships/hyperlink" Target="http://www.itu.int/ITU-T/recommendations/rec.aspx?rec=4964" TargetMode="External"/><Relationship Id="rId581" Type="http://schemas.openxmlformats.org/officeDocument/2006/relationships/hyperlink" Target="https://www.itu.int/ITU-T/recommendations/rec.aspx?id=13672" TargetMode="External"/><Relationship Id="rId777" Type="http://schemas.openxmlformats.org/officeDocument/2006/relationships/hyperlink" Target="https://www.itu.int/ITU-T/recommendations/rec.aspx?id=13505&amp;lang=en" TargetMode="External"/><Relationship Id="rId984" Type="http://schemas.openxmlformats.org/officeDocument/2006/relationships/hyperlink" Target="https://www.itu.int/en/ITU-D/Regional-Presence/AsiaPacific/Pages/Events/2018/ssceg2018/home.aspx" TargetMode="External"/><Relationship Id="rId1018" Type="http://schemas.openxmlformats.org/officeDocument/2006/relationships/hyperlink" Target="http://www.itu.int/oth/T2301000020/en" TargetMode="External"/><Relationship Id="rId71" Type="http://schemas.openxmlformats.org/officeDocument/2006/relationships/hyperlink" Target="http://www.itu.int/ITU-T/recommendations/rec.aspx?id=12828&amp;lang=en" TargetMode="External"/><Relationship Id="rId234" Type="http://schemas.openxmlformats.org/officeDocument/2006/relationships/hyperlink" Target="https://www.itu.int/ITU-T/recommendations/rec.aspx?rec=12496" TargetMode="External"/><Relationship Id="rId637" Type="http://schemas.openxmlformats.org/officeDocument/2006/relationships/hyperlink" Target="http://www.itu.int/ITU-T/recommendations/rec.aspx?id=11611&amp;lang=en" TargetMode="External"/><Relationship Id="rId679" Type="http://schemas.openxmlformats.org/officeDocument/2006/relationships/hyperlink" Target="http://www.itu.int/ITU-T/recommendations/rec.aspx?rec=13137" TargetMode="External"/><Relationship Id="rId802" Type="http://schemas.openxmlformats.org/officeDocument/2006/relationships/hyperlink" Target="http://www.itu.int/ITU-T/recommendations/rec.aspx?rec=12753" TargetMode="External"/><Relationship Id="rId844" Type="http://schemas.openxmlformats.org/officeDocument/2006/relationships/hyperlink" Target="http://www.itu.int/ITU-T/recommendations/rec.aspx?rec=11904" TargetMode="External"/><Relationship Id="rId886" Type="http://schemas.openxmlformats.org/officeDocument/2006/relationships/hyperlink" Target="http://www.itu.int/ITU-T/recommendations/rec.aspx?id=11343&amp;lang=en" TargetMode="External"/><Relationship Id="rId2" Type="http://schemas.openxmlformats.org/officeDocument/2006/relationships/numbering" Target="numbering.xml"/><Relationship Id="rId29" Type="http://schemas.openxmlformats.org/officeDocument/2006/relationships/hyperlink" Target="https://www.itu.int/ITU-T/recommendations/rec.aspx?id=13578&amp;lang=en" TargetMode="External"/><Relationship Id="rId276" Type="http://schemas.openxmlformats.org/officeDocument/2006/relationships/hyperlink" Target="http://www.itu.int/ITU-T/recommendations/rec.aspx?id=13199&amp;lang=en" TargetMode="External"/><Relationship Id="rId441" Type="http://schemas.openxmlformats.org/officeDocument/2006/relationships/hyperlink" Target="http://www.itu.int/ITU-T/recommendations/rec.aspx?rec=12565" TargetMode="External"/><Relationship Id="rId483" Type="http://schemas.openxmlformats.org/officeDocument/2006/relationships/hyperlink" Target="http://www.itu.int/ITU-T/recommendations/rec.aspx?rec=11141" TargetMode="External"/><Relationship Id="rId539" Type="http://schemas.openxmlformats.org/officeDocument/2006/relationships/hyperlink" Target="https://www.itu.int/ITU-T/recommendations/rec.aspx?id=13341&amp;lang=en" TargetMode="External"/><Relationship Id="rId690" Type="http://schemas.openxmlformats.org/officeDocument/2006/relationships/hyperlink" Target="https://www.itu.int/ITU-T/recommendations/rec.aspx?id=13455&amp;lang=en" TargetMode="External"/><Relationship Id="rId704" Type="http://schemas.openxmlformats.org/officeDocument/2006/relationships/hyperlink" Target="https://www.itu.int/ITU-T/recommendations/rec.aspx?id=13185&amp;lang=en" TargetMode="External"/><Relationship Id="rId746" Type="http://schemas.openxmlformats.org/officeDocument/2006/relationships/hyperlink" Target="file://C:\_Euchner\_ITU-T\SDG\describes%20the%20concept%20and%20high-level%20architectural%20model%20of%20object-to-object%20communication%20for%20ubiquitous%20networking%20in%20next%20generation%20networks%20(NGNs).%20It%20also%20presents%20requirements%20and%20a%20mechanism%20for%20identification%20of%20all%20objects%20and%20for%20providing%20connectivity%20to%20them.http:\www.itu.int\ITU-T\recommendations\rec.aspx?rec=11561" TargetMode="External"/><Relationship Id="rId911" Type="http://schemas.openxmlformats.org/officeDocument/2006/relationships/hyperlink" Target="http://www.itu.int/net/itu-t/cdb/ConformityDB.aspx" TargetMode="External"/><Relationship Id="rId40" Type="http://schemas.openxmlformats.org/officeDocument/2006/relationships/hyperlink" Target="http://www.itu.int/ITU-T/recommendations/rec.aspx?rec=12429" TargetMode="External"/><Relationship Id="rId136" Type="http://schemas.openxmlformats.org/officeDocument/2006/relationships/hyperlink" Target="https://www.itu.int/ITU-T/recommendations/rec.aspx?id=13674" TargetMode="External"/><Relationship Id="rId178" Type="http://schemas.openxmlformats.org/officeDocument/2006/relationships/hyperlink" Target="https://www.itu.int/ifa/t/fg/swm/docs/Finalized_Deliverables/fg-swm-i-086r3-Standardization-gap-analysis-for-SWM-clean.docx" TargetMode="External"/><Relationship Id="rId301" Type="http://schemas.openxmlformats.org/officeDocument/2006/relationships/hyperlink" Target="http://www.itu.int/ITU-T/recommendations/rec.aspx?rec=12713" TargetMode="External"/><Relationship Id="rId343" Type="http://schemas.openxmlformats.org/officeDocument/2006/relationships/hyperlink" Target="http://www.itu.int/ITU-T/recommendations/rec.aspx?rec=11481" TargetMode="External"/><Relationship Id="rId550" Type="http://schemas.openxmlformats.org/officeDocument/2006/relationships/hyperlink" Target="https://www.itu.int/ITU-T/recommendations/rec.aspx?id=13568&amp;lang=en" TargetMode="External"/><Relationship Id="rId788" Type="http://schemas.openxmlformats.org/officeDocument/2006/relationships/hyperlink" Target="http://www.itu.int/ITU-T/recommendations/rec.aspx?rec=11546" TargetMode="External"/><Relationship Id="rId953" Type="http://schemas.openxmlformats.org/officeDocument/2006/relationships/hyperlink" Target="https://www.itu.int/en/ITU-T/Workshops-and-Seminars/20171205/Pages/default.aspx" TargetMode="External"/><Relationship Id="rId995" Type="http://schemas.openxmlformats.org/officeDocument/2006/relationships/hyperlink" Target="https://www.itu.int/en/ITU-D/Regional-Presence/Europe/Pages/Events/2018/5GForum/Towards_5G_Enabled_Gigabit_Society.aspx" TargetMode="External"/><Relationship Id="rId1029" Type="http://schemas.openxmlformats.org/officeDocument/2006/relationships/hyperlink" Target="http://www.standards-education.org/" TargetMode="External"/><Relationship Id="rId82" Type="http://schemas.openxmlformats.org/officeDocument/2006/relationships/hyperlink" Target="https://www.itu.int/ITU-T/recommendations/rec.aspx?id=13350&amp;lang=en-US" TargetMode="External"/><Relationship Id="rId203" Type="http://schemas.openxmlformats.org/officeDocument/2006/relationships/hyperlink" Target="http://www.itu.int/ITU-T/recommendations/rec.aspx?rec=12885" TargetMode="External"/><Relationship Id="rId385" Type="http://schemas.openxmlformats.org/officeDocument/2006/relationships/hyperlink" Target="http://www.itu.int/ITU-T/recommendations/rec.aspx?id=13116&amp;lang=en" TargetMode="External"/><Relationship Id="rId592" Type="http://schemas.openxmlformats.org/officeDocument/2006/relationships/hyperlink" Target="http://www.itu.int/ITU-T/recommendations/rec.aspx?id=11946&amp;lang=en" TargetMode="External"/><Relationship Id="rId606" Type="http://schemas.openxmlformats.org/officeDocument/2006/relationships/hyperlink" Target="http://www.itu.int/ITU-T/recommendations/rec.aspx?id=8844&amp;lang=en" TargetMode="External"/><Relationship Id="rId648" Type="http://schemas.openxmlformats.org/officeDocument/2006/relationships/hyperlink" Target="http://www.itu.int/ITU-T/recommendations/rec.aspx?id=12037&amp;lang=en" TargetMode="External"/><Relationship Id="rId813" Type="http://schemas.openxmlformats.org/officeDocument/2006/relationships/hyperlink" Target="http://www.itu.int/ITU-T/recommendations/rec.aspx?rec=12962" TargetMode="External"/><Relationship Id="rId855" Type="http://schemas.openxmlformats.org/officeDocument/2006/relationships/hyperlink" Target="http://www.itu.int/ITU-T/recommendations/rec.aspx?rec=2282" TargetMode="External"/><Relationship Id="rId1040" Type="http://schemas.openxmlformats.org/officeDocument/2006/relationships/hyperlink" Target="https://www.itu.int/en/ITU-T/extcoop/cits/Pages/201707.aspx" TargetMode="External"/><Relationship Id="rId245" Type="http://schemas.openxmlformats.org/officeDocument/2006/relationships/hyperlink" Target="https://www.itu.int/ITU-T/recommendations/rec.aspx?id=13345&amp;lang=en-US" TargetMode="External"/><Relationship Id="rId287" Type="http://schemas.openxmlformats.org/officeDocument/2006/relationships/hyperlink" Target="https://www.itu.int/ITU-T/recommendations/rec.aspx?id=13615&amp;lang=en" TargetMode="External"/><Relationship Id="rId410" Type="http://schemas.openxmlformats.org/officeDocument/2006/relationships/hyperlink" Target="http://www.itu.int/ITU-T/recommendations/rec.aspx?rec=10887" TargetMode="External"/><Relationship Id="rId452" Type="http://schemas.openxmlformats.org/officeDocument/2006/relationships/hyperlink" Target="https://www.itu.int/rec/T-REC-G.997.2-201808-I!Amd5" TargetMode="External"/><Relationship Id="rId494" Type="http://schemas.openxmlformats.org/officeDocument/2006/relationships/hyperlink" Target="https://www.itu.int/ITU-T/recommendations/rec.aspx?id=13106&amp;lang=en" TargetMode="External"/><Relationship Id="rId508" Type="http://schemas.openxmlformats.org/officeDocument/2006/relationships/hyperlink" Target="https://www.itu.int/rec/T-REC-G.8273.2-201708-P!Amd1" TargetMode="External"/><Relationship Id="rId715" Type="http://schemas.openxmlformats.org/officeDocument/2006/relationships/hyperlink" Target="http://www.itu.int/ITU-T/recommendations/rec.aspx?rec=12169" TargetMode="External"/><Relationship Id="rId897" Type="http://schemas.openxmlformats.org/officeDocument/2006/relationships/hyperlink" Target="https://www.itu.int/en/publications/Documents/tsb/2017-U4SSC-Implementing-sustainable-devt/index.html" TargetMode="External"/><Relationship Id="rId922" Type="http://schemas.openxmlformats.org/officeDocument/2006/relationships/hyperlink" Target="https://www.itu.int/en/ITU-T/Workshops-and-Seminars/201708/Pages/default.aspx" TargetMode="External"/><Relationship Id="rId105" Type="http://schemas.openxmlformats.org/officeDocument/2006/relationships/hyperlink" Target="https://www.itu.int/ITU-T/recommendations/rec.aspx?id=13369" TargetMode="External"/><Relationship Id="rId147" Type="http://schemas.openxmlformats.org/officeDocument/2006/relationships/hyperlink" Target="http://www.itu.int/ITU-T/recommendations/rec.aspx?rec=12940" TargetMode="External"/><Relationship Id="rId312" Type="http://schemas.openxmlformats.org/officeDocument/2006/relationships/hyperlink" Target="http://www.itu.int/pub/publications.aspx?lang=en&amp;parent=T-TUT-TRUST-2015" TargetMode="External"/><Relationship Id="rId354" Type="http://schemas.openxmlformats.org/officeDocument/2006/relationships/hyperlink" Target="http://www.itu.int/ITU-T/recommendations/rec.aspx?rec=10395" TargetMode="External"/><Relationship Id="rId757" Type="http://schemas.openxmlformats.org/officeDocument/2006/relationships/hyperlink" Target="https://www.itu.int/ITU-T/recommendations/rec.aspx?id=13637&amp;lang=en" TargetMode="External"/><Relationship Id="rId799" Type="http://schemas.openxmlformats.org/officeDocument/2006/relationships/hyperlink" Target="http://www.itu.int/ITU-T/recommendations/rec.aspx?rec=12661" TargetMode="External"/><Relationship Id="rId964" Type="http://schemas.openxmlformats.org/officeDocument/2006/relationships/hyperlink" Target="https://www.itu.int/en/ITU-T/Workshops-and-Seminars/20170601/Pages/default.aspx" TargetMode="External"/><Relationship Id="rId51" Type="http://schemas.openxmlformats.org/officeDocument/2006/relationships/hyperlink" Target="http://www.itu.int/ITU-T/recommendations/rec.aspx?rec=11908" TargetMode="External"/><Relationship Id="rId93" Type="http://schemas.openxmlformats.org/officeDocument/2006/relationships/hyperlink" Target="http://www.itu.int/ITU-T/recommendations/rec.aspx?rec=12520" TargetMode="External"/><Relationship Id="rId189" Type="http://schemas.openxmlformats.org/officeDocument/2006/relationships/hyperlink" Target="https://www.itu.int/ITU-T/recommendations/rec.aspx?id=5586&amp;lang=en" TargetMode="External"/><Relationship Id="rId396" Type="http://schemas.openxmlformats.org/officeDocument/2006/relationships/hyperlink" Target="http://www.itu.int/ITU-T/recommendations/rec.aspx?rec=1039" TargetMode="External"/><Relationship Id="rId561" Type="http://schemas.openxmlformats.org/officeDocument/2006/relationships/hyperlink" Target="https://www.itu.int/ITU-T/recommendations/rec.aspx?id=13656" TargetMode="External"/><Relationship Id="rId617" Type="http://schemas.openxmlformats.org/officeDocument/2006/relationships/hyperlink" Target="https://www.itu.int/ITU-T/recommendations/rec.aspx?id=13606&amp;lang=en" TargetMode="External"/><Relationship Id="rId659" Type="http://schemas.openxmlformats.org/officeDocument/2006/relationships/hyperlink" Target="http://www.itu.int/pub/publications.aspx?lang=en&amp;parent=T-TUT-SEC-2016" TargetMode="External"/><Relationship Id="rId824" Type="http://schemas.openxmlformats.org/officeDocument/2006/relationships/hyperlink" Target="http://www.itu.int/ITU-T/recommendations/rec.aspx?rec=11428" TargetMode="External"/><Relationship Id="rId866" Type="http://schemas.openxmlformats.org/officeDocument/2006/relationships/hyperlink" Target="https://www.itu.int/ITU-T/recommendations/rec.aspx?rec=13694" TargetMode="External"/><Relationship Id="rId214" Type="http://schemas.openxmlformats.org/officeDocument/2006/relationships/hyperlink" Target="https://www.itu.int/ITU-T/recommendations/rec.aspx?id=13287&amp;lang=en" TargetMode="External"/><Relationship Id="rId256" Type="http://schemas.openxmlformats.org/officeDocument/2006/relationships/hyperlink" Target="https://www.itu.int/rec/T-REC-J.343-201805-P!Amd1" TargetMode="External"/><Relationship Id="rId298" Type="http://schemas.openxmlformats.org/officeDocument/2006/relationships/hyperlink" Target="http://www.itu.int/ITU-T/recommendations/rec.aspx?rec=12209" TargetMode="External"/><Relationship Id="rId421" Type="http://schemas.openxmlformats.org/officeDocument/2006/relationships/hyperlink" Target="http://www.itu.int/ITU-T/recommendations/rec.aspx?rec=11810" TargetMode="External"/><Relationship Id="rId463" Type="http://schemas.openxmlformats.org/officeDocument/2006/relationships/hyperlink" Target="http://www.itu.int/ITU-T/recommendations/rec.aspx?rec=9677" TargetMode="External"/><Relationship Id="rId519" Type="http://schemas.openxmlformats.org/officeDocument/2006/relationships/hyperlink" Target="https://www.itu.int/rec/T-REC-G.9700-201706-I!Amd2" TargetMode="External"/><Relationship Id="rId670" Type="http://schemas.openxmlformats.org/officeDocument/2006/relationships/hyperlink" Target="https://www.itu.int/ITU-T/recommendations/rec.aspx?id=11633&amp;lang=en" TargetMode="External"/><Relationship Id="rId1051" Type="http://schemas.openxmlformats.org/officeDocument/2006/relationships/fontTable" Target="fontTable.xml"/><Relationship Id="rId116" Type="http://schemas.openxmlformats.org/officeDocument/2006/relationships/hyperlink" Target="http://www.itu.int/ITU-T/recommendations/rec.aspx?rec=12913" TargetMode="External"/><Relationship Id="rId158" Type="http://schemas.openxmlformats.org/officeDocument/2006/relationships/hyperlink" Target="http://www.itu.int/ITU-T/recommendations/rec.aspx?rec=12951" TargetMode="External"/><Relationship Id="rId323" Type="http://schemas.openxmlformats.org/officeDocument/2006/relationships/hyperlink" Target="https://www.itu.int/ITU-T/recommendations/rec.aspx?id=876" TargetMode="External"/><Relationship Id="rId530" Type="http://schemas.openxmlformats.org/officeDocument/2006/relationships/hyperlink" Target="http://www.itu.int/ITU-T/recommendations/rec.aspx?rec=12088" TargetMode="External"/><Relationship Id="rId726" Type="http://schemas.openxmlformats.org/officeDocument/2006/relationships/hyperlink" Target="http://www.itu.int/ITU-T/recommendations/rec.aspx?rec=12705" TargetMode="External"/><Relationship Id="rId768" Type="http://schemas.openxmlformats.org/officeDocument/2006/relationships/hyperlink" Target="http://www.itu.int/ITU-T/recommendations/rec.aspx?rec=12779" TargetMode="External"/><Relationship Id="rId933" Type="http://schemas.openxmlformats.org/officeDocument/2006/relationships/hyperlink" Target="https://www.itu.int/en/ITU-T/Workshops-and-Seminars/qos/201711/Pages/default.aspx" TargetMode="External"/><Relationship Id="rId975" Type="http://schemas.openxmlformats.org/officeDocument/2006/relationships/hyperlink" Target="https://www.itu.int/en/ITU-T/Workshops-and-Seminars/20180319/Pages/default.aspx" TargetMode="External"/><Relationship Id="rId1009" Type="http://schemas.openxmlformats.org/officeDocument/2006/relationships/hyperlink" Target="http://www.itu.int/oth/T2301000002/en" TargetMode="External"/><Relationship Id="rId20" Type="http://schemas.openxmlformats.org/officeDocument/2006/relationships/hyperlink" Target="http://www.itu.int/en/ITU-T/accessibility/Documents/ITU%20PP-14%20Resolution%20175.pdf" TargetMode="External"/><Relationship Id="rId62" Type="http://schemas.openxmlformats.org/officeDocument/2006/relationships/hyperlink" Target="http://www.itu.int/ITU-T/recommendations/rec.aspx?id=12089&amp;lang=en" TargetMode="External"/><Relationship Id="rId365" Type="http://schemas.openxmlformats.org/officeDocument/2006/relationships/hyperlink" Target="http://www.itu.int/ITU-T/recommendations/rec.aspx?id=13083&amp;lang=en" TargetMode="External"/><Relationship Id="rId572" Type="http://schemas.openxmlformats.org/officeDocument/2006/relationships/hyperlink" Target="https://www.itu.int/ITU-T/recommendations/rec.aspx?id=13436&amp;lang=en" TargetMode="External"/><Relationship Id="rId628" Type="http://schemas.openxmlformats.org/officeDocument/2006/relationships/hyperlink" Target="http://www.itu.int/ITU-T/recommendations/rec.aspx?id=11060&amp;lang=en" TargetMode="External"/><Relationship Id="rId835" Type="http://schemas.openxmlformats.org/officeDocument/2006/relationships/hyperlink" Target="http://www.itu.int/pub/publications.aspx?lang=en&amp;parent=T-TUT-CCICT-2015" TargetMode="External"/><Relationship Id="rId225" Type="http://schemas.openxmlformats.org/officeDocument/2006/relationships/hyperlink" Target="mailto:https://www.itu.int/ITU-T/recommendations/rec.aspx?id=13486&amp;lang=en" TargetMode="External"/><Relationship Id="rId267" Type="http://schemas.openxmlformats.org/officeDocument/2006/relationships/hyperlink" Target="https://www.itu.int/ITU-T/recommendations/rec.aspx?id=13175" TargetMode="External"/><Relationship Id="rId432" Type="http://schemas.openxmlformats.org/officeDocument/2006/relationships/hyperlink" Target="https://www.itu.int/rec/T-REC-G.993.5-201712-P!Amd2" TargetMode="External"/><Relationship Id="rId474" Type="http://schemas.openxmlformats.org/officeDocument/2006/relationships/hyperlink" Target="https://www.itu.int/rec/T-REC-G.8051-201708-I!Amd1" TargetMode="External"/><Relationship Id="rId877" Type="http://schemas.openxmlformats.org/officeDocument/2006/relationships/hyperlink" Target="http://www.itu.int/ITU-T/recommendations/rec.aspx?id=10844&amp;lang=en" TargetMode="External"/><Relationship Id="rId1020" Type="http://schemas.openxmlformats.org/officeDocument/2006/relationships/hyperlink" Target="https://www.itu.int/en/publications/Documents/tsb/2016-InternetOfThings/index.html" TargetMode="External"/><Relationship Id="rId127" Type="http://schemas.openxmlformats.org/officeDocument/2006/relationships/hyperlink" Target="http://www.itu.int/ITU-T/recommendations/rec.aspx?rec=12924" TargetMode="External"/><Relationship Id="rId681" Type="http://schemas.openxmlformats.org/officeDocument/2006/relationships/hyperlink" Target="http://www.itu.int/ITU-T/recommendations/rec.aspx?rec=13139" TargetMode="External"/><Relationship Id="rId737" Type="http://schemas.openxmlformats.org/officeDocument/2006/relationships/hyperlink" Target="https://www.itu.int/ITU-T/recommendations/rec.aspx?id=13387&amp;lang=en" TargetMode="External"/><Relationship Id="rId779" Type="http://schemas.openxmlformats.org/officeDocument/2006/relationships/hyperlink" Target="https://www.itu.int/ITU-T/recommendations/rec.aspx?id=13507&amp;lang=en" TargetMode="External"/><Relationship Id="rId902" Type="http://schemas.openxmlformats.org/officeDocument/2006/relationships/hyperlink" Target="http://www.itu.int/en/ITU-T/ssc/united/Pages/default.aspx" TargetMode="External"/><Relationship Id="rId944" Type="http://schemas.openxmlformats.org/officeDocument/2006/relationships/hyperlink" Target="https://iotweek.org/" TargetMode="External"/><Relationship Id="rId986" Type="http://schemas.openxmlformats.org/officeDocument/2006/relationships/hyperlink" Target="https://www.itu.int/en/ITU-T/Workshops-and-Seminars/20180718/Pages/default.aspx" TargetMode="External"/><Relationship Id="rId31" Type="http://schemas.openxmlformats.org/officeDocument/2006/relationships/hyperlink" Target="https://www.itu.int/ITU-T/recommendations/rec.aspx?id=13721&amp;lang=en" TargetMode="External"/><Relationship Id="rId73" Type="http://schemas.openxmlformats.org/officeDocument/2006/relationships/hyperlink" Target="http://www.itu.int/en/ITU-T/focusgroups/imt-2020/Pages/default.aspx" TargetMode="External"/><Relationship Id="rId169" Type="http://schemas.openxmlformats.org/officeDocument/2006/relationships/hyperlink" Target="https://www.itu.int/ITU-T/recommendations/rec.aspx?id=13572&amp;lang=en" TargetMode="External"/><Relationship Id="rId334" Type="http://schemas.openxmlformats.org/officeDocument/2006/relationships/hyperlink" Target="http://www.itu.int/ITU-T/recommendations/rec.aspx?rec=10871" TargetMode="External"/><Relationship Id="rId376" Type="http://schemas.openxmlformats.org/officeDocument/2006/relationships/hyperlink" Target="http://www.itu.int/ITU-T/recommendations/rec.aspx?rec=6978" TargetMode="External"/><Relationship Id="rId541" Type="http://schemas.openxmlformats.org/officeDocument/2006/relationships/hyperlink" Target="https://www.itu.int/ITU-T/recommendations/rec.aspx?id=13340&amp;lang=en-UShttps://www.itu.int/ITU-T/recommendations/rec.aspx?id=11405" TargetMode="External"/><Relationship Id="rId583" Type="http://schemas.openxmlformats.org/officeDocument/2006/relationships/hyperlink" Target="https://www.itu.int/ITU-T/recommendations/rec.aspx?id=13030" TargetMode="External"/><Relationship Id="rId639" Type="http://schemas.openxmlformats.org/officeDocument/2006/relationships/hyperlink" Target="http://www.itu.int/ITU-T/recommendations/rec.aspx?id=11613&amp;lang=en" TargetMode="External"/><Relationship Id="rId790" Type="http://schemas.openxmlformats.org/officeDocument/2006/relationships/hyperlink" Target="http://www.itu.int/ITU-T/recommendations/rec.aspx?rec=12052" TargetMode="External"/><Relationship Id="rId804" Type="http://schemas.openxmlformats.org/officeDocument/2006/relationships/hyperlink" Target="http://www.itu.int/ITU-T/recommendations/rec.aspx?rec=12755" TargetMode="External"/><Relationship Id="rId4" Type="http://schemas.openxmlformats.org/officeDocument/2006/relationships/settings" Target="settings.xml"/><Relationship Id="rId180" Type="http://schemas.openxmlformats.org/officeDocument/2006/relationships/hyperlink" Target="https://www.itu.int/ifa/t/fg/swm/docs/Draft_Deliverables/fg-swm-i-0079-contribution_from_UNESCO_Stakeholder_List.zip" TargetMode="External"/><Relationship Id="rId236" Type="http://schemas.openxmlformats.org/officeDocument/2006/relationships/hyperlink" Target="https://www.itu.int/ITU-T/recommendations/rec.aspx?rec=12498" TargetMode="External"/><Relationship Id="rId278" Type="http://schemas.openxmlformats.org/officeDocument/2006/relationships/hyperlink" Target="https://www.itu.int/pub/publications.aspx?lang=en&amp;parent=T-TUT-QOS-2018" TargetMode="External"/><Relationship Id="rId401" Type="http://schemas.openxmlformats.org/officeDocument/2006/relationships/hyperlink" Target="http://www.itu.int/ITU-T/recommendations/rec.aspx?rec=5612" TargetMode="External"/><Relationship Id="rId443" Type="http://schemas.openxmlformats.org/officeDocument/2006/relationships/hyperlink" Target="http://www.itu.int/ITU-T/recommendations/rec.aspx?rec=9666" TargetMode="External"/><Relationship Id="rId650" Type="http://schemas.openxmlformats.org/officeDocument/2006/relationships/hyperlink" Target="https://www.itu.int/ITU-T/recommendations/rec.aspx?id=13406&amp;lang=en" TargetMode="External"/><Relationship Id="rId846" Type="http://schemas.openxmlformats.org/officeDocument/2006/relationships/hyperlink" Target="https://www.itu.int/ITU-T/recommendations/rec.aspx?id=13582" TargetMode="External"/><Relationship Id="rId888" Type="http://schemas.openxmlformats.org/officeDocument/2006/relationships/hyperlink" Target="http://www.itu.int/ITU-T/recommendations/rec.aspx?id=11951&amp;lang=en" TargetMode="External"/><Relationship Id="rId1031" Type="http://schemas.openxmlformats.org/officeDocument/2006/relationships/hyperlink" Target="https://www.itu.int/en/ITU-T/about/groups/Pages/sg05.aspx" TargetMode="External"/><Relationship Id="rId303" Type="http://schemas.openxmlformats.org/officeDocument/2006/relationships/hyperlink" Target="http://www.itu.int/ITU-T/recommendations/rec.aspx?rec=12286" TargetMode="External"/><Relationship Id="rId485" Type="http://schemas.openxmlformats.org/officeDocument/2006/relationships/hyperlink" Target="http://www.itu.int/ITU-T/recommendations/rec.aspx?rec=12545" TargetMode="External"/><Relationship Id="rId692" Type="http://schemas.openxmlformats.org/officeDocument/2006/relationships/hyperlink" Target="https://www.itu.int/ITU-T/recommendations/rec.aspx?id=13713&amp;lang=en" TargetMode="External"/><Relationship Id="rId706" Type="http://schemas.openxmlformats.org/officeDocument/2006/relationships/hyperlink" Target="http://www.itu.int/pub/publications.aspx?lang=en&amp;parent=T-TUT-FSTP-2016-UMAA" TargetMode="External"/><Relationship Id="rId748" Type="http://schemas.openxmlformats.org/officeDocument/2006/relationships/hyperlink" Target="http://www.itu.int/ITU-T/recommendations/rec.aspx?rec=9883" TargetMode="External"/><Relationship Id="rId913" Type="http://schemas.openxmlformats.org/officeDocument/2006/relationships/hyperlink" Target="http://www.itu.int/itu-t/recommendations/rec.aspx?rec=H.721" TargetMode="External"/><Relationship Id="rId955" Type="http://schemas.openxmlformats.org/officeDocument/2006/relationships/hyperlink" Target="https://www.itu.int/en/mediacentre/Pages/2016-PR34.aspx" TargetMode="External"/><Relationship Id="rId42" Type="http://schemas.openxmlformats.org/officeDocument/2006/relationships/hyperlink" Target="http://www.itu.int/ITU-T/recommendations/rec.aspx?rec=12883" TargetMode="External"/><Relationship Id="rId84" Type="http://schemas.openxmlformats.org/officeDocument/2006/relationships/hyperlink" Target="https://www.itu.int/ITU-T/recommendations/rec.aspx?id=13611&amp;lang=en" TargetMode="External"/><Relationship Id="rId138" Type="http://schemas.openxmlformats.org/officeDocument/2006/relationships/hyperlink" Target="https://www.itu.int/ITU-T/recommendations/rec.aspx?id=13676" TargetMode="External"/><Relationship Id="rId345" Type="http://schemas.openxmlformats.org/officeDocument/2006/relationships/hyperlink" Target="http://www.itu.int/ITU-T/recommendations/rec.aspx?rec=9182" TargetMode="External"/><Relationship Id="rId387" Type="http://schemas.openxmlformats.org/officeDocument/2006/relationships/hyperlink" Target="http://www.itu.int/ITU-T/recommendations/rec.aspx?id=10404&amp;lang=en" TargetMode="External"/><Relationship Id="rId510" Type="http://schemas.openxmlformats.org/officeDocument/2006/relationships/hyperlink" Target="http://www.itu.int/ITU-T/recommendations/rec.aspx?rec=12011" TargetMode="External"/><Relationship Id="rId552" Type="http://schemas.openxmlformats.org/officeDocument/2006/relationships/hyperlink" Target="http://www.itu.int/ITU-T/recommendations/rec.aspx?id=6137&amp;lang=en" TargetMode="External"/><Relationship Id="rId594" Type="http://schemas.openxmlformats.org/officeDocument/2006/relationships/hyperlink" Target="https://www.itu.int/ITU-T/recommendations/rec.aspx?id=13059" TargetMode="External"/><Relationship Id="rId608" Type="http://schemas.openxmlformats.org/officeDocument/2006/relationships/hyperlink" Target="http://www.itu.int/ITU-T/recommendations/rec.aspx?id=12044&amp;lang=en" TargetMode="External"/><Relationship Id="rId815" Type="http://schemas.openxmlformats.org/officeDocument/2006/relationships/hyperlink" Target="http://www.itu.int/oth/T2301000021/en" TargetMode="External"/><Relationship Id="rId997" Type="http://schemas.openxmlformats.org/officeDocument/2006/relationships/hyperlink" Target="https://www.itu.int/en/ITU-T/inr/Pages/misuse.aspx" TargetMode="External"/><Relationship Id="rId191" Type="http://schemas.openxmlformats.org/officeDocument/2006/relationships/hyperlink" Target="https://www.itu.int/ITU-T/recommendations/rec.aspx?id=11368&amp;lang=en" TargetMode="External"/><Relationship Id="rId205" Type="http://schemas.openxmlformats.org/officeDocument/2006/relationships/hyperlink" Target="http://www.itu.int/en/ITU-T/focusgroups/ml5g/Pages/default.aspx" TargetMode="External"/><Relationship Id="rId247" Type="http://schemas.openxmlformats.org/officeDocument/2006/relationships/hyperlink" Target="https://www.itu.int/ITU-T/recommendations/rec.aspx?id=13494&amp;lang=en" TargetMode="External"/><Relationship Id="rId412" Type="http://schemas.openxmlformats.org/officeDocument/2006/relationships/hyperlink" Target="http://www.itu.int/ITU-T/recommendations/rec.aspx?rec=10408" TargetMode="External"/><Relationship Id="rId857" Type="http://schemas.openxmlformats.org/officeDocument/2006/relationships/hyperlink" Target="http://www.itu.int/ITU-T/recommendations/rec.aspx?rec=8773" TargetMode="External"/><Relationship Id="rId899" Type="http://schemas.openxmlformats.org/officeDocument/2006/relationships/hyperlink" Target="https://www.itu.int/en/publications/Documents/tsb/2018-U4SSC-Case-of-Moscow/files/downloads/The%20Case%20of%20Moscow-E_18-00503.pdf" TargetMode="External"/><Relationship Id="rId1000" Type="http://schemas.openxmlformats.org/officeDocument/2006/relationships/hyperlink" Target="http://www.itu.int/ITU-T/recommendations/rec.aspx?id=12310&amp;lang=en" TargetMode="External"/><Relationship Id="rId1042" Type="http://schemas.openxmlformats.org/officeDocument/2006/relationships/hyperlink" Target="https://www.itu.int/net4/wsis/forum/2018/Pages/Agenda/Session/340" TargetMode="External"/><Relationship Id="rId107" Type="http://schemas.openxmlformats.org/officeDocument/2006/relationships/hyperlink" Target="https://www.itu.int/ITU-T/recommendations/rec.aspx?id=13373" TargetMode="External"/><Relationship Id="rId289" Type="http://schemas.openxmlformats.org/officeDocument/2006/relationships/hyperlink" Target="https://www.itu.int/ITU-T/recommendations/rec.aspx?id=13464" TargetMode="External"/><Relationship Id="rId454" Type="http://schemas.openxmlformats.org/officeDocument/2006/relationships/hyperlink" Target="http://www.itu.int/ITU-T/recommendations/rec.aspx?rec=3395" TargetMode="External"/><Relationship Id="rId496" Type="http://schemas.openxmlformats.org/officeDocument/2006/relationships/hyperlink" Target="https://www.itu.int/rec/T-REC-G.8271-201708-I" TargetMode="External"/><Relationship Id="rId661" Type="http://schemas.openxmlformats.org/officeDocument/2006/relationships/hyperlink" Target="http://www.itu.int/ITU-T/recommendations/rec.aspx?rec=13127" TargetMode="External"/><Relationship Id="rId717" Type="http://schemas.openxmlformats.org/officeDocument/2006/relationships/hyperlink" Target="http://www.itu.int/ITU-T/recommendations/rec.aspx?rec=12421" TargetMode="External"/><Relationship Id="rId759" Type="http://schemas.openxmlformats.org/officeDocument/2006/relationships/hyperlink" Target="https://www.itu.int/ITU-T/recommendations/rec.aspx?id=13639&amp;lang=en" TargetMode="External"/><Relationship Id="rId924" Type="http://schemas.openxmlformats.org/officeDocument/2006/relationships/hyperlink" Target="https://www.iso.org/home.html" TargetMode="External"/><Relationship Id="rId966" Type="http://schemas.openxmlformats.org/officeDocument/2006/relationships/hyperlink" Target="https://www.itu.int/en/fnc/2017/Pages/default.aspx" TargetMode="External"/><Relationship Id="rId11" Type="http://schemas.openxmlformats.org/officeDocument/2006/relationships/hyperlink" Target="https://www.itu.int/en/ITU-T/studygroups/2017-2020/20/sg20rglatam/Pages/default.aspx" TargetMode="External"/><Relationship Id="rId53" Type="http://schemas.openxmlformats.org/officeDocument/2006/relationships/hyperlink" Target="http://www.itu.int/ITU-T/recommendations/rec.aspx?rec=12893" TargetMode="External"/><Relationship Id="rId149" Type="http://schemas.openxmlformats.org/officeDocument/2006/relationships/hyperlink" Target="http://www.itu.int/ITU-T/recommendations/rec.aspx?rec=12942" TargetMode="External"/><Relationship Id="rId314" Type="http://schemas.openxmlformats.org/officeDocument/2006/relationships/hyperlink" Target="http://www.itu.int/pub/publications.aspx?lang=en&amp;parent=T-TUT-NGN-2013" TargetMode="External"/><Relationship Id="rId356" Type="http://schemas.openxmlformats.org/officeDocument/2006/relationships/hyperlink" Target="http://www.itu.int/ITU-T/recommendations/rec.aspx?rec=11484" TargetMode="External"/><Relationship Id="rId398" Type="http://schemas.openxmlformats.org/officeDocument/2006/relationships/hyperlink" Target="http://www.itu.int/ITU-T/recommendations/rec.aspx?rec=7485" TargetMode="External"/><Relationship Id="rId521" Type="http://schemas.openxmlformats.org/officeDocument/2006/relationships/hyperlink" Target="https://www.itu.int/rec/T-REC-G.9701-201712-P!Amd4" TargetMode="External"/><Relationship Id="rId563" Type="http://schemas.openxmlformats.org/officeDocument/2006/relationships/hyperlink" Target="https://www.itu.int/ITU-T/recommendations/rec.aspx?id=13428&amp;lang=en" TargetMode="External"/><Relationship Id="rId619" Type="http://schemas.openxmlformats.org/officeDocument/2006/relationships/hyperlink" Target="https://www.itu.int/ITU-T/recommendations/rec.aspx?rec=11754" TargetMode="External"/><Relationship Id="rId770" Type="http://schemas.openxmlformats.org/officeDocument/2006/relationships/hyperlink" Target="https://www.itu.int/ITU-T/recommendations/rec.aspx?id=13641&amp;lang=en" TargetMode="External"/><Relationship Id="rId95" Type="http://schemas.openxmlformats.org/officeDocument/2006/relationships/hyperlink" Target="http://itu.int/en/ITU-T/studygroups/2017-2020/16/Pages/q28.aspx" TargetMode="External"/><Relationship Id="rId160" Type="http://schemas.openxmlformats.org/officeDocument/2006/relationships/hyperlink" Target="https://www.itu.int/rec/T-REC-H.845.16-201704-I" TargetMode="External"/><Relationship Id="rId216" Type="http://schemas.openxmlformats.org/officeDocument/2006/relationships/hyperlink" Target="https://www.itu.int/ITU-T/recommendations/rec.aspx?id=6999&amp;lang=en" TargetMode="External"/><Relationship Id="rId423" Type="http://schemas.openxmlformats.org/officeDocument/2006/relationships/hyperlink" Target="https://www.itu.int/rec/T-REC-G.989.2-201708-I!Amd2" TargetMode="External"/><Relationship Id="rId826" Type="http://schemas.openxmlformats.org/officeDocument/2006/relationships/hyperlink" Target="http://www.itu.int/ITU-T/recommendations/rec.aspx?rec=12881" TargetMode="External"/><Relationship Id="rId868" Type="http://schemas.openxmlformats.org/officeDocument/2006/relationships/hyperlink" Target="http://www.itu.int/ITU-T/recommendations/rec.aspx?id=11093&amp;lang=en" TargetMode="External"/><Relationship Id="rId1011" Type="http://schemas.openxmlformats.org/officeDocument/2006/relationships/hyperlink" Target="mailto:https://www.itu.int/ITU-T/recommendations/rec.aspx?id=13427&amp;lang=en" TargetMode="External"/><Relationship Id="rId258" Type="http://schemas.openxmlformats.org/officeDocument/2006/relationships/hyperlink" Target="https://www.itu.int/ITU-T/recommendations/rec.aspx?id=13172" TargetMode="External"/><Relationship Id="rId465" Type="http://schemas.openxmlformats.org/officeDocument/2006/relationships/hyperlink" Target="https://www.itu.int/ITU-T/recommendations/rec.aspx?id=13540&amp;lang=en" TargetMode="External"/><Relationship Id="rId630" Type="http://schemas.openxmlformats.org/officeDocument/2006/relationships/hyperlink" Target="http://www.itu.int/ITU-T/recommendations/rec.aspx?id=11373&amp;lang=en" TargetMode="External"/><Relationship Id="rId672" Type="http://schemas.openxmlformats.org/officeDocument/2006/relationships/hyperlink" Target="http://www.itu.int/ITU-T/recommendations/rec.aspx?rec=13132" TargetMode="External"/><Relationship Id="rId728" Type="http://schemas.openxmlformats.org/officeDocument/2006/relationships/hyperlink" Target="http://www.itu.int/ITU-T/recommendations/rec.aspx?id=13025&amp;lang=en" TargetMode="External"/><Relationship Id="rId935" Type="http://schemas.openxmlformats.org/officeDocument/2006/relationships/hyperlink" Target="https://www.itu.int/en/ITU-T/Workshops-and-Seminars/20180506/Pages/default.aspx" TargetMode="External"/><Relationship Id="rId22" Type="http://schemas.openxmlformats.org/officeDocument/2006/relationships/hyperlink" Target="http://www.itu.int/ITU-T/recommendations/rec.aspx?rec=12131" TargetMode="External"/><Relationship Id="rId64" Type="http://schemas.openxmlformats.org/officeDocument/2006/relationships/hyperlink" Target="http://www.itu.int/ITU-T/recommendations/rec.aspx?id=12088&amp;lang=en" TargetMode="External"/><Relationship Id="rId118" Type="http://schemas.openxmlformats.org/officeDocument/2006/relationships/hyperlink" Target="http://www.itu.int/ITU-T/recommendations/rec.aspx?rec=12915" TargetMode="External"/><Relationship Id="rId325" Type="http://schemas.openxmlformats.org/officeDocument/2006/relationships/hyperlink" Target="https://www.itu.int/ITU-T/recommendations/rec.aspx?id=8750" TargetMode="External"/><Relationship Id="rId367" Type="http://schemas.openxmlformats.org/officeDocument/2006/relationships/hyperlink" Target="http://www.itu.int/ITU-T/recommendations/rec.aspx?id=12180&amp;lang=en" TargetMode="External"/><Relationship Id="rId532" Type="http://schemas.openxmlformats.org/officeDocument/2006/relationships/hyperlink" Target="https://www.itu.int/ITU-T/recommendations/rec.aspx?id=13557&amp;lang=en" TargetMode="External"/><Relationship Id="rId574" Type="http://schemas.openxmlformats.org/officeDocument/2006/relationships/hyperlink" Target="https://www.itu.int/ITU-T/recommendations/rec.aspx?id=13670" TargetMode="External"/><Relationship Id="rId977" Type="http://schemas.openxmlformats.org/officeDocument/2006/relationships/hyperlink" Target="https://www.itu.int/en/ITU-T/Workshops-and-Seminars/20180423/Pages/default.aspx" TargetMode="External"/><Relationship Id="rId171" Type="http://schemas.openxmlformats.org/officeDocument/2006/relationships/hyperlink" Target="http://www.itu.int/pub/publications.aspx?lang=en&amp;parent=T-TUT-EHT-2014-H810" TargetMode="External"/><Relationship Id="rId227" Type="http://schemas.openxmlformats.org/officeDocument/2006/relationships/hyperlink" Target="https://www.itu.int/ITU-T/recommendations/rec.aspx?rec=11716" TargetMode="External"/><Relationship Id="rId781" Type="http://schemas.openxmlformats.org/officeDocument/2006/relationships/hyperlink" Target="https://www.itu.int/ITU-T/recommendations/rec.aspx?id=13509&amp;lang=en" TargetMode="External"/><Relationship Id="rId837" Type="http://schemas.openxmlformats.org/officeDocument/2006/relationships/hyperlink" Target="http://www.itu.int/ITU-T/recommendations/rec.aspx?id=6489&amp;lang=en" TargetMode="External"/><Relationship Id="rId879" Type="http://schemas.openxmlformats.org/officeDocument/2006/relationships/hyperlink" Target="http://www.itu.int/ITU-T/recommendations/rec.aspx?id=11913&amp;lang=en" TargetMode="External"/><Relationship Id="rId1022" Type="http://schemas.openxmlformats.org/officeDocument/2006/relationships/hyperlink" Target="http://www.who.int/en/" TargetMode="External"/><Relationship Id="rId269" Type="http://schemas.openxmlformats.org/officeDocument/2006/relationships/hyperlink" Target="https://www.itu.int/ITU-T/recommendations/rec.aspx?id=13177" TargetMode="External"/><Relationship Id="rId434" Type="http://schemas.openxmlformats.org/officeDocument/2006/relationships/hyperlink" Target="http://www.itu.int/ITU-T/recommendations/rec.aspx?rec=12370" TargetMode="External"/><Relationship Id="rId476" Type="http://schemas.openxmlformats.org/officeDocument/2006/relationships/hyperlink" Target="https://www.itu.int/rec/T-REC-G.8112-201708-I!Amd1" TargetMode="External"/><Relationship Id="rId641" Type="http://schemas.openxmlformats.org/officeDocument/2006/relationships/hyperlink" Target="https://www.itu.int/ITU-T/recommendations/rec.aspx?id=13264&amp;lang=en" TargetMode="External"/><Relationship Id="rId683" Type="http://schemas.openxmlformats.org/officeDocument/2006/relationships/hyperlink" Target="https://www.itu.int/ITU-T/recommendations/rec.aspx?id=13279&amp;lang=en" TargetMode="External"/><Relationship Id="rId739" Type="http://schemas.openxmlformats.org/officeDocument/2006/relationships/hyperlink" Target="http://www.itu.int/ITU-T/recommendations/rec.aspx?rec=11912" TargetMode="External"/><Relationship Id="rId890" Type="http://schemas.openxmlformats.org/officeDocument/2006/relationships/hyperlink" Target="http://www.itu.int/ITU-T/recommendations/rec.aspx?id=12608&amp;lang=en" TargetMode="External"/><Relationship Id="rId904" Type="http://schemas.openxmlformats.org/officeDocument/2006/relationships/hyperlink" Target="https://www.itu.int/en/ITU-T/climatechange/resources/Pages/default.aspx" TargetMode="External"/><Relationship Id="rId33" Type="http://schemas.openxmlformats.org/officeDocument/2006/relationships/hyperlink" Target="http://www.itu.int/ITU-T/recommendations/rec.aspx?rec=12204" TargetMode="External"/><Relationship Id="rId129" Type="http://schemas.openxmlformats.org/officeDocument/2006/relationships/hyperlink" Target="http://www.itu.int/ITU-T/recommendations/rec.aspx?rec=12927" TargetMode="External"/><Relationship Id="rId280" Type="http://schemas.openxmlformats.org/officeDocument/2006/relationships/hyperlink" Target="https://www.itu.int/ITU-T/recommendations/rec.aspx?id=13349&amp;lang=en-US" TargetMode="External"/><Relationship Id="rId336" Type="http://schemas.openxmlformats.org/officeDocument/2006/relationships/hyperlink" Target="http://www.itu.int/ITU-T/recommendations/rec.aspx?rec=9153" TargetMode="External"/><Relationship Id="rId501" Type="http://schemas.openxmlformats.org/officeDocument/2006/relationships/hyperlink" Target="https://www.itu.int/ITU-T/recommendations/rec.aspx?id=13324&amp;lang=en" TargetMode="External"/><Relationship Id="rId543" Type="http://schemas.openxmlformats.org/officeDocument/2006/relationships/hyperlink" Target="https://www.itu.int/ITU-T/recommendations/rec.aspx?id=13785&amp;lang=en" TargetMode="External"/><Relationship Id="rId946" Type="http://schemas.openxmlformats.org/officeDocument/2006/relationships/hyperlink" Target="https://www.itu.int/en/ITU-T/Workshops-and-Seminars/gsw/201804/Pages/Programme11.aspx" TargetMode="External"/><Relationship Id="rId988" Type="http://schemas.openxmlformats.org/officeDocument/2006/relationships/hyperlink" Target="https://www.itu.int/en/ITU-T/Workshops-and-Seminars/20180807/Pages/default.aspx" TargetMode="External"/><Relationship Id="rId75" Type="http://schemas.openxmlformats.org/officeDocument/2006/relationships/hyperlink" Target="https://www.itu.int/en/ITU-T/jca/imt2020/Pages/default.aspx" TargetMode="External"/><Relationship Id="rId140" Type="http://schemas.openxmlformats.org/officeDocument/2006/relationships/hyperlink" Target="http://www.itu.int/ITU-T/recommendations/rec.aspx?rec=12933" TargetMode="External"/><Relationship Id="rId182" Type="http://schemas.openxmlformats.org/officeDocument/2006/relationships/hyperlink" Target="https://www.itu.int/ifa/t/fg/swm/docs/Draft_Deliverables/fg-swm-i-0081-contribution_from_UNESCO_Stakeholder_Challenges_and_Mitigation.zip" TargetMode="External"/><Relationship Id="rId378" Type="http://schemas.openxmlformats.org/officeDocument/2006/relationships/hyperlink" Target="http://www.itu.int/ITU-T/recommendations/rec.aspx?rec=6187" TargetMode="External"/><Relationship Id="rId403" Type="http://schemas.openxmlformats.org/officeDocument/2006/relationships/hyperlink" Target="http://www.itu.int/ITU-T/recommendations/rec.aspx?rec=9379" TargetMode="External"/><Relationship Id="rId585" Type="http://schemas.openxmlformats.org/officeDocument/2006/relationships/hyperlink" Target="https://www.itu.int/ITU-T/recommendations/rec.aspx?id=13033" TargetMode="External"/><Relationship Id="rId750" Type="http://schemas.openxmlformats.org/officeDocument/2006/relationships/hyperlink" Target="http://www.itu.int/ITU-T/recommendations/rec.aspx?rec=12582" TargetMode="External"/><Relationship Id="rId792" Type="http://schemas.openxmlformats.org/officeDocument/2006/relationships/hyperlink" Target="http://www.itu.int/ITU-T/recommendations/rec.aspx?rec=11669" TargetMode="External"/><Relationship Id="rId806" Type="http://schemas.openxmlformats.org/officeDocument/2006/relationships/hyperlink" Target="http://www.itu.int/ITU-T/recommendations/rec.aspx?rec=12757" TargetMode="External"/><Relationship Id="rId848" Type="http://schemas.openxmlformats.org/officeDocument/2006/relationships/hyperlink" Target="http://www.itu.int/ITU-T/recommendations/rec.aspx?rec=12206" TargetMode="External"/><Relationship Id="rId1033" Type="http://schemas.openxmlformats.org/officeDocument/2006/relationships/hyperlink" Target="https://www.itu.int/md/T17-TSB-CIR-0056/en" TargetMode="External"/><Relationship Id="rId6" Type="http://schemas.openxmlformats.org/officeDocument/2006/relationships/footnotes" Target="footnotes.xml"/><Relationship Id="rId238" Type="http://schemas.openxmlformats.org/officeDocument/2006/relationships/hyperlink" Target="https://www.itu.int/ITU-T/recommendations/rec.aspx?id=13700&amp;lang=en" TargetMode="External"/><Relationship Id="rId445" Type="http://schemas.openxmlformats.org/officeDocument/2006/relationships/hyperlink" Target="https://www.itu.int/rec/T-REC-G.996.2-201806-P!Amd6" TargetMode="External"/><Relationship Id="rId487" Type="http://schemas.openxmlformats.org/officeDocument/2006/relationships/hyperlink" Target="http://www.itu.int/ITU-T/recommendations/rec.aspx?rec=12389" TargetMode="External"/><Relationship Id="rId610" Type="http://schemas.openxmlformats.org/officeDocument/2006/relationships/hyperlink" Target="https://www.itu.int/ITU-T/recommendations/rec.aspx?id=13368&amp;lang=en" TargetMode="External"/><Relationship Id="rId652" Type="http://schemas.openxmlformats.org/officeDocument/2006/relationships/hyperlink" Target="http://www.itu.int/ITU-T/recommendations/rec.aspx?id=12616&amp;lang=en" TargetMode="External"/><Relationship Id="rId694" Type="http://schemas.openxmlformats.org/officeDocument/2006/relationships/hyperlink" Target="https://www.itu.int/ITU-T/recommendations/rec.aspx?id=13715&amp;lang=en" TargetMode="External"/><Relationship Id="rId708" Type="http://schemas.openxmlformats.org/officeDocument/2006/relationships/hyperlink" Target="https://www.itu.int/en/ITU-T/jca/iot/Pages/default.aspx" TargetMode="External"/><Relationship Id="rId915" Type="http://schemas.openxmlformats.org/officeDocument/2006/relationships/hyperlink" Target="http://www.itu.int/itu-t/recommendations/rec.aspx?rec=H.702" TargetMode="External"/><Relationship Id="rId291" Type="http://schemas.openxmlformats.org/officeDocument/2006/relationships/hyperlink" Target="http://www.itu.int/ITU-T/recommendations/rec.aspx?id=12709&amp;lang=en" TargetMode="External"/><Relationship Id="rId305" Type="http://schemas.openxmlformats.org/officeDocument/2006/relationships/hyperlink" Target="https://www.itu.int/ITU-T/recommendations/rec.aspx?id=13255&amp;lang=en" TargetMode="External"/><Relationship Id="rId347" Type="http://schemas.openxmlformats.org/officeDocument/2006/relationships/hyperlink" Target="http://www.itu.int/ITU-T/recommendations/rec.aspx?rec=4249" TargetMode="External"/><Relationship Id="rId512" Type="http://schemas.openxmlformats.org/officeDocument/2006/relationships/hyperlink" Target="https://www.itu.int/ITU-T/recommendations/rec.aspx?id=12815&amp;lang=en" TargetMode="External"/><Relationship Id="rId957" Type="http://schemas.openxmlformats.org/officeDocument/2006/relationships/hyperlink" Target="https://www.itu.int/en/ITU-T/Workshops-and-Seminars/gsw/201704/Pages/default.aspx" TargetMode="External"/><Relationship Id="rId999" Type="http://schemas.openxmlformats.org/officeDocument/2006/relationships/hyperlink" Target="http://www.itu.int/oth/T2301000012/en" TargetMode="External"/><Relationship Id="rId44" Type="http://schemas.openxmlformats.org/officeDocument/2006/relationships/hyperlink" Target="https://www.itu.int/ITU-T/recommendations/rec.aspx?id=13147&amp;lang=en" TargetMode="External"/><Relationship Id="rId86" Type="http://schemas.openxmlformats.org/officeDocument/2006/relationships/hyperlink" Target="mailto:https://www.itu.int/ITU-T/recommendations/rec.aspx?id=13468&amp;lang=en" TargetMode="External"/><Relationship Id="rId151" Type="http://schemas.openxmlformats.org/officeDocument/2006/relationships/hyperlink" Target="http://www.itu.int/ITU-T/recommendations/rec.aspx?rec=12944" TargetMode="External"/><Relationship Id="rId389" Type="http://schemas.openxmlformats.org/officeDocument/2006/relationships/hyperlink" Target="http://www.itu.int/ITU-T/recommendations/rec.aspx?id=9159&amp;lang=en" TargetMode="External"/><Relationship Id="rId554" Type="http://schemas.openxmlformats.org/officeDocument/2006/relationships/hyperlink" Target="http://www.itu.int/rec/T-REC-L.30-200711-I" TargetMode="External"/><Relationship Id="rId596" Type="http://schemas.openxmlformats.org/officeDocument/2006/relationships/hyperlink" Target="https://www.itu.int/ITU-T/recommendations/rec.aspx?id=13603&amp;lang=en" TargetMode="External"/><Relationship Id="rId761" Type="http://schemas.openxmlformats.org/officeDocument/2006/relationships/hyperlink" Target="http://www.itu.int/ITU-T/recommendations/rec.aspx?rec=12520" TargetMode="External"/><Relationship Id="rId817" Type="http://schemas.openxmlformats.org/officeDocument/2006/relationships/hyperlink" Target="https://www.itu.int/ITU-T/recommendations/rec.aspx?id=13344&amp;lang=en" TargetMode="External"/><Relationship Id="rId859" Type="http://schemas.openxmlformats.org/officeDocument/2006/relationships/hyperlink" Target="http://www.itu.int/ITU-T/recommendations/rec.aspx?rec=8609&amp;lang=en" TargetMode="External"/><Relationship Id="rId1002" Type="http://schemas.openxmlformats.org/officeDocument/2006/relationships/hyperlink" Target="mailto:https://www.itu.int/ITU-T/recommendations/rec.aspx?id=13348&amp;lang=en-US" TargetMode="External"/><Relationship Id="rId193" Type="http://schemas.openxmlformats.org/officeDocument/2006/relationships/hyperlink" Target="https://www.itu.int/ITU-T/recommendations/rec.aspx?id=13687" TargetMode="External"/><Relationship Id="rId207" Type="http://schemas.openxmlformats.org/officeDocument/2006/relationships/hyperlink" Target="https://www.itu.int/en/ITU-T/focusgroups/vm" TargetMode="External"/><Relationship Id="rId249" Type="http://schemas.openxmlformats.org/officeDocument/2006/relationships/hyperlink" Target="https://www.itu.int/ITU-T/recommendations/rec.aspx?id=13168" TargetMode="External"/><Relationship Id="rId414" Type="http://schemas.openxmlformats.org/officeDocument/2006/relationships/hyperlink" Target="http://www.itu.int/ITU-T/recommendations/rec.aspx?rec=12794" TargetMode="External"/><Relationship Id="rId456" Type="http://schemas.openxmlformats.org/officeDocument/2006/relationships/hyperlink" Target="http://www.itu.int/ITU-T/recommendations/rec.aspx?rec=7493" TargetMode="External"/><Relationship Id="rId498" Type="http://schemas.openxmlformats.org/officeDocument/2006/relationships/hyperlink" Target="https://www.itu.int/rec/T-REC-G.8271-201803-I!Amd1" TargetMode="External"/><Relationship Id="rId621" Type="http://schemas.openxmlformats.org/officeDocument/2006/relationships/hyperlink" Target="https://www.oasis-open.org/committees/tc_home.php?wg_abbrev=cti" TargetMode="External"/><Relationship Id="rId663" Type="http://schemas.openxmlformats.org/officeDocument/2006/relationships/hyperlink" Target="http://www.itu.int/ITU-T/recommendations/rec.aspx?id=3878&amp;lang=en" TargetMode="External"/><Relationship Id="rId870" Type="http://schemas.openxmlformats.org/officeDocument/2006/relationships/hyperlink" Target="http://www.itu.int/ITU-T/recommendations/rec.aspx?rec=11975" TargetMode="External"/><Relationship Id="rId1044" Type="http://schemas.openxmlformats.org/officeDocument/2006/relationships/hyperlink" Target="https://www.itu.int/en/ITU-T/Workshops-and-Seminars/20180530/Pages/default.aspx" TargetMode="External"/><Relationship Id="rId13" Type="http://schemas.openxmlformats.org/officeDocument/2006/relationships/hyperlink" Target="https://www.itu.int/en/ITU-T/studygroups/2017-2020/20/sg20rgeecat/Pages/default.aspx" TargetMode="External"/><Relationship Id="rId109" Type="http://schemas.openxmlformats.org/officeDocument/2006/relationships/hyperlink" Target="https://www.itu.int/ITU-T/recommendations/rec.aspx?id=13377" TargetMode="External"/><Relationship Id="rId260" Type="http://schemas.openxmlformats.org/officeDocument/2006/relationships/hyperlink" Target="https://www.itu.int/rec/T-REC-P.501-201806-P!Amd1" TargetMode="External"/><Relationship Id="rId316" Type="http://schemas.openxmlformats.org/officeDocument/2006/relationships/hyperlink" Target="http://www.itu.int/ITU-T/recommendations/rec.aspx?rec=869" TargetMode="External"/><Relationship Id="rId523" Type="http://schemas.openxmlformats.org/officeDocument/2006/relationships/hyperlink" Target="http://www.itu.int/ITU-T/recommendations/rec.aspx?rec=12009" TargetMode="External"/><Relationship Id="rId719" Type="http://schemas.openxmlformats.org/officeDocument/2006/relationships/hyperlink" Target="http://www.itu.int/ITU-T/recommendations/rec.aspx?rec=10616" TargetMode="External"/><Relationship Id="rId926" Type="http://schemas.openxmlformats.org/officeDocument/2006/relationships/hyperlink" Target="https://www.unece.org/trans/main/welcwp29.html" TargetMode="External"/><Relationship Id="rId968" Type="http://schemas.openxmlformats.org/officeDocument/2006/relationships/hyperlink" Target="https://www.itu.int/en/ITU-T/studygroups/2017-2020/16/Pages/ws/201701_ILE.aspx" TargetMode="External"/><Relationship Id="rId55" Type="http://schemas.openxmlformats.org/officeDocument/2006/relationships/hyperlink" Target="http://www.itu.int/ITU-T/recommendations/rec.aspx?id=13153" TargetMode="External"/><Relationship Id="rId97" Type="http://schemas.openxmlformats.org/officeDocument/2006/relationships/hyperlink" Target="https://www.itu.int/ITU-T/recommendations/rec.aspx?id=13665&amp;lang=en" TargetMode="External"/><Relationship Id="rId120" Type="http://schemas.openxmlformats.org/officeDocument/2006/relationships/hyperlink" Target="http://www.itu.int/ITU-T/recommendations/rec.aspx?rec=12917" TargetMode="External"/><Relationship Id="rId358" Type="http://schemas.openxmlformats.org/officeDocument/2006/relationships/hyperlink" Target="http://www.itu.int/ITU-T/recommendations/rec.aspx?rec=12789" TargetMode="External"/><Relationship Id="rId565" Type="http://schemas.openxmlformats.org/officeDocument/2006/relationships/hyperlink" Target="https://www.itu.int/ITU-T/recommendations/rec.aspx?id=13659" TargetMode="External"/><Relationship Id="rId730" Type="http://schemas.openxmlformats.org/officeDocument/2006/relationships/hyperlink" Target="https://www.itu.int/ITU-T/recommendations/rec.aspx?id=13266&amp;lang=en" TargetMode="External"/><Relationship Id="rId772" Type="http://schemas.openxmlformats.org/officeDocument/2006/relationships/hyperlink" Target="https://www.itu.int/ITU-T/recommendations/rec.aspx?id=13500&amp;lang=en" TargetMode="External"/><Relationship Id="rId828" Type="http://schemas.openxmlformats.org/officeDocument/2006/relationships/hyperlink" Target="http://www.itu.int/ITU-T/recommendations/rec.aspx?rec=12433" TargetMode="External"/><Relationship Id="rId1013" Type="http://schemas.openxmlformats.org/officeDocument/2006/relationships/hyperlink" Target="http://www.itu.int/oth/T2301000010/en" TargetMode="External"/><Relationship Id="rId162" Type="http://schemas.openxmlformats.org/officeDocument/2006/relationships/hyperlink" Target="http://www.itu.int/ITU-T/recommendations/rec.aspx?rec=12953" TargetMode="External"/><Relationship Id="rId218" Type="http://schemas.openxmlformats.org/officeDocument/2006/relationships/hyperlink" Target="mailto:https://www.itu.int/ITU-T/recommendations/rec.aspx?id=13482&amp;lang=en" TargetMode="External"/><Relationship Id="rId425" Type="http://schemas.openxmlformats.org/officeDocument/2006/relationships/hyperlink" Target="file://C:\_Euchner\_ITU-T\SDG\specifies%20a%20High%20bit%20rate%20Digital%20Subscriber%20Line%20(HDSL)%20which%20is%20a%20bidirectional%20and%20symmetrical%20transmission%20system%20that%20allows%20the%20transport%20of%20signals%20with%20a%20bit%20rate%20of%201544%20kbit\s%20or%202048%20kbit\s%20on%20the%20copper%20twisted%20pairs%20of%20an%20access%20network.%20The%20basic%20work%20has%20been%20carried%20out%20in%20the%20ANSI%20T1%20committee%20for%201544%20kbit\s%20signals.%20The%20results%20of%20this%20work%20were%20taken%20by%20TM6%20of%20ETSI%20and%20adopted%20for%202048%20kbit\s%20signals%20in%20a%20technical%20specification,%20which%20built%20the%20basis%20for%20this%20Recommendation.The%20HDSL%20system%20uses%20echo%20cancellation%20technique%20for%20the%20separation%20of%20the%20directions%20of%20transmission,%20so%20that%20one%20twisted%20pair%20can%20carry%20both%20directions.%20Two%20different%20options%20for%20the%20line%20code%20are%20recommended,%20the%20Pulse%20Amplitude%20Modulation%202B1Q%20and%20the%20Carrierless%20Amplitude\Phase%20Modulation%20CAP.%20CAP%20is%20applicable%20for%202048%20kbit\s%20only,%20while%20for%202B1Q%20two%20different%20frames%20for%201544%20kbit\s%20and%202048%20kbit\s%20are%20defined.The%202B1Q%20for%202048%20kbit\s%20caters%20for%20both%20duplex%20transmission%20on%20a%20single%20pair%20and%20parallel%20transmission%20on%20two%20or%20three-pairs.%20This%20allows%20for%20the%20distribution%20of%20the%20signal%20to%20several%20pairs%20and%20for%20reduction%20of%20the%20symbol%20rate%20and%20an%20increase%20of%20the%20line%20length.%20CAP%20is%20defined%20for%20one-%20or%20two-pairs%20only%20and%20the%201544%20kbit\s%202B1Q%20for%20two-pairs%20only.http:\www.itu.int\ITU-T\recommendations\rec.aspx?rec=4524" TargetMode="External"/><Relationship Id="rId467" Type="http://schemas.openxmlformats.org/officeDocument/2006/relationships/hyperlink" Target="https://www.itu.int/ITU-T/recommendations/rec.aspx?id=13337&amp;lang=en-UShttps://www.itu.int/ITU-T/recommendations/rec.aspx?id=12379" TargetMode="External"/><Relationship Id="rId632" Type="http://schemas.openxmlformats.org/officeDocument/2006/relationships/hyperlink" Target="http://www.itu.int/ITU-T/recommendations/rec.aspx?id=12614&amp;lang=en" TargetMode="External"/><Relationship Id="rId271" Type="http://schemas.openxmlformats.org/officeDocument/2006/relationships/hyperlink" Target="http://www.itu.int/ITU-T/recommendations/rec.aspx?id=13159&amp;lang=en" TargetMode="External"/><Relationship Id="rId674" Type="http://schemas.openxmlformats.org/officeDocument/2006/relationships/hyperlink" Target="https://www.itu.int/ITU-T/recommendations/rec.aspx?rec=12290" TargetMode="External"/><Relationship Id="rId881" Type="http://schemas.openxmlformats.org/officeDocument/2006/relationships/hyperlink" Target="http://www.itu.int/ITU-T/recommendations/rec.aspx?id=12079&amp;lang=en" TargetMode="External"/><Relationship Id="rId937" Type="http://schemas.openxmlformats.org/officeDocument/2006/relationships/hyperlink" Target="https://www.itu.int/en/ITU-T/Workshops-and-Seminars/20180723/Pages/default.aspx" TargetMode="External"/><Relationship Id="rId979" Type="http://schemas.openxmlformats.org/officeDocument/2006/relationships/hyperlink" Target="https://www.itu.int/en/ITU-T/Workshops-and-Seminars/20180425a/Pages/default.aspx" TargetMode="External"/><Relationship Id="rId24" Type="http://schemas.openxmlformats.org/officeDocument/2006/relationships/hyperlink" Target="https://www.itu.int/ITU-T/recommendations/rec.aspx?id=13458&amp;lang=en" TargetMode="External"/><Relationship Id="rId66" Type="http://schemas.openxmlformats.org/officeDocument/2006/relationships/hyperlink" Target="http://www.itu.int/rec/T-REC-F.747.9" TargetMode="External"/><Relationship Id="rId131" Type="http://schemas.openxmlformats.org/officeDocument/2006/relationships/hyperlink" Target="http://www.itu.int/ITU-T/recommendations/rec.aspx?rec=12928" TargetMode="External"/><Relationship Id="rId327" Type="http://schemas.openxmlformats.org/officeDocument/2006/relationships/hyperlink" Target="http://www.itu.int/ITU-T/recommendations/rec.aspx?rec=12528" TargetMode="External"/><Relationship Id="rId369" Type="http://schemas.openxmlformats.org/officeDocument/2006/relationships/hyperlink" Target="https://www.itu.int/ITU-T/recommendations/rec.aspx?id=13301&amp;lang=en-US" TargetMode="External"/><Relationship Id="rId534" Type="http://schemas.openxmlformats.org/officeDocument/2006/relationships/hyperlink" Target="file://C:\_Euchner\_ITU-T\SDG\belongs%20to%20the%20family%20of%20ITU-T%20G.996x%20Recommendations.%20Recommendation%20ITU-T%20G.9961%20specifies%20the%20data%20link%20layer%20(DLL)%20for%20wireline-based%20home%20networking%20transceivers%20capable%20of%20operating%20over%20premises%20wiring%20including%20inside%20telephone%20wiring,%20coaxial%20cable,%20and%20power-line%20wiring.%20It%20complements%20the%20system%20architecture%20and%20physical%20(PHY)%20layer%20specification%20in%20Recommendation%20ITU-T%20G.9960,%20and%20the%20power%20spectral%20density%20(PSD)%20specification%20in%20Recommendation%20ITU-T%20G.9964.http:\www.itu.int\ITU-T\recommendations\rec.aspx?rec=12401" TargetMode="External"/><Relationship Id="rId576" Type="http://schemas.openxmlformats.org/officeDocument/2006/relationships/hyperlink" Target="http://www.itu.int/ITU-T/recommendations/rec.aspx?id=13210&amp;lang=en" TargetMode="External"/><Relationship Id="rId741" Type="http://schemas.openxmlformats.org/officeDocument/2006/relationships/hyperlink" Target="http://www.itu.int/ITU-T/recommendations/rec.aspx?rec=12071" TargetMode="External"/><Relationship Id="rId783" Type="http://schemas.openxmlformats.org/officeDocument/2006/relationships/hyperlink" Target="https://www.itu.int/ITU-T/recommendations/rec.aspx?id=13511&amp;lang=en" TargetMode="External"/><Relationship Id="rId839" Type="http://schemas.openxmlformats.org/officeDocument/2006/relationships/hyperlink" Target="http://www.itu.int/ITU-T/recommendations/rec.aspx?id=12449&amp;lang=en" TargetMode="External"/><Relationship Id="rId990" Type="http://schemas.openxmlformats.org/officeDocument/2006/relationships/hyperlink" Target="https://www.itu.int/en/ITU-T/Workshops-and-Seminars/20180828/Pages/default.aspx" TargetMode="External"/><Relationship Id="rId173" Type="http://schemas.openxmlformats.org/officeDocument/2006/relationships/hyperlink" Target="http://www.itu.int/ITU-T/recommendations/rec.aspx?rec=11384" TargetMode="External"/><Relationship Id="rId229" Type="http://schemas.openxmlformats.org/officeDocument/2006/relationships/hyperlink" Target="https://www.itu.int/ITU-T/recommendations/rec.aspx?rec=11092" TargetMode="External"/><Relationship Id="rId380" Type="http://schemas.openxmlformats.org/officeDocument/2006/relationships/hyperlink" Target="http://www.itu.int/ITU-T/recommendations/rec.aspx?id=12530&amp;lang=en" TargetMode="External"/><Relationship Id="rId436" Type="http://schemas.openxmlformats.org/officeDocument/2006/relationships/hyperlink" Target="https://www.itu.int/rec/T-REC-G.993.5-201712-I!Amd2" TargetMode="External"/><Relationship Id="rId601" Type="http://schemas.openxmlformats.org/officeDocument/2006/relationships/hyperlink" Target="http://www.itu.int/ITU-T/recommendations/rec.aspx?rec=11384" TargetMode="External"/><Relationship Id="rId643" Type="http://schemas.openxmlformats.org/officeDocument/2006/relationships/hyperlink" Target="http://www.itu.int/ITU-T/recommendations/rec.aspx?id=12038&amp;lang=en" TargetMode="External"/><Relationship Id="rId1024" Type="http://schemas.openxmlformats.org/officeDocument/2006/relationships/hyperlink" Target="http://www.worldcitiessummit.com.sg" TargetMode="External"/><Relationship Id="rId240" Type="http://schemas.openxmlformats.org/officeDocument/2006/relationships/hyperlink" Target="mailto:https://www.itu.int/ITU-T/recommendations/rec.aspx?id=13490&amp;lang=en" TargetMode="External"/><Relationship Id="rId478" Type="http://schemas.openxmlformats.org/officeDocument/2006/relationships/hyperlink" Target="https://www.itu.int/rec/T-REC-G.8121-201708-I!Amd1" TargetMode="External"/><Relationship Id="rId685" Type="http://schemas.openxmlformats.org/officeDocument/2006/relationships/hyperlink" Target="https://www.itu.int/ITU-T/recommendations/rec.aspx?id=13281&amp;lang=en" TargetMode="External"/><Relationship Id="rId850" Type="http://schemas.openxmlformats.org/officeDocument/2006/relationships/hyperlink" Target="http://www.itu.int/ITU-T/recommendations/rec.aspx?rec=12628" TargetMode="External"/><Relationship Id="rId892" Type="http://schemas.openxmlformats.org/officeDocument/2006/relationships/hyperlink" Target="https://www.itu.int/ITU-T/recommendations/rec.aspx?id=4376" TargetMode="External"/><Relationship Id="rId906" Type="http://schemas.openxmlformats.org/officeDocument/2006/relationships/hyperlink" Target="https://www.itu.int/en/ITU-T/climatechange/resources/Pages/topic-10.aspx" TargetMode="External"/><Relationship Id="rId948" Type="http://schemas.openxmlformats.org/officeDocument/2006/relationships/hyperlink" Target="http://iot-week.eu/" TargetMode="External"/><Relationship Id="rId35" Type="http://schemas.openxmlformats.org/officeDocument/2006/relationships/hyperlink" Target="http://www.itu.int/ITU-T/recommendations/rec.aspx?rec=12630" TargetMode="External"/><Relationship Id="rId77" Type="http://schemas.openxmlformats.org/officeDocument/2006/relationships/hyperlink" Target="http://www.itu.int/en/ITU-T/focusgroups/imt-2020/Documents/FG_IMT-2020_Deliverables_2016.zip" TargetMode="External"/><Relationship Id="rId100" Type="http://schemas.openxmlformats.org/officeDocument/2006/relationships/hyperlink" Target="https://www.itu.int/ITU-T/recommendations/rec.aspx?id=12846&amp;lang=en" TargetMode="External"/><Relationship Id="rId282" Type="http://schemas.openxmlformats.org/officeDocument/2006/relationships/hyperlink" Target="https://www.itu.int/ITU-T/recommendations/rec.aspx?id=13351&amp;lang=en-US" TargetMode="External"/><Relationship Id="rId338" Type="http://schemas.openxmlformats.org/officeDocument/2006/relationships/hyperlink" Target="http://www.itu.int/ITU-T/recommendations/rec.aspx?rec=11114" TargetMode="External"/><Relationship Id="rId503" Type="http://schemas.openxmlformats.org/officeDocument/2006/relationships/hyperlink" Target="http://www.itu.int/ITU-T/recommendations/rec.aspx?rec=13162" TargetMode="External"/><Relationship Id="rId545" Type="http://schemas.openxmlformats.org/officeDocument/2006/relationships/hyperlink" Target="https://www.itu.int/ITU-T/recommendations/rec.aspx?id=13566&amp;lang=en" TargetMode="External"/><Relationship Id="rId587" Type="http://schemas.openxmlformats.org/officeDocument/2006/relationships/hyperlink" Target="https://www.itu.int/ITU-T/recommendations/rec.aspx?id=13035" TargetMode="External"/><Relationship Id="rId710" Type="http://schemas.openxmlformats.org/officeDocument/2006/relationships/hyperlink" Target="http://www.itu.int/ITU-T/recommendations/rec.aspx?rec=11559" TargetMode="External"/><Relationship Id="rId752" Type="http://schemas.openxmlformats.org/officeDocument/2006/relationships/hyperlink" Target="http://www.itu.int/ITU-T/recommendations/rec.aspx?rec=11011" TargetMode="External"/><Relationship Id="rId808" Type="http://schemas.openxmlformats.org/officeDocument/2006/relationships/hyperlink" Target="http://www.itu.int/ITU-T/recommendations/rec.aspx?rec=12976" TargetMode="External"/><Relationship Id="rId8" Type="http://schemas.openxmlformats.org/officeDocument/2006/relationships/hyperlink" Target="https://www.itu.int/en/ITU-T/wise/Pages/WTSA-16-WISE-Event.aspx" TargetMode="External"/><Relationship Id="rId142" Type="http://schemas.openxmlformats.org/officeDocument/2006/relationships/hyperlink" Target="http://www.itu.int/ITU-T/recommendations/rec.aspx?rec=12935" TargetMode="External"/><Relationship Id="rId184" Type="http://schemas.openxmlformats.org/officeDocument/2006/relationships/hyperlink" Target="http://www.itu.int/ITU-T/recommendations/rec.aspx?rec=12962" TargetMode="External"/><Relationship Id="rId391" Type="http://schemas.openxmlformats.org/officeDocument/2006/relationships/hyperlink" Target="http://www.itu.int/ITU-T/recommendations/rec.aspx?id=7069&amp;lang=en" TargetMode="External"/><Relationship Id="rId405" Type="http://schemas.openxmlformats.org/officeDocument/2006/relationships/hyperlink" Target="http://www.itu.int/ITU-T/recommendations/rec.aspx?rec=12099" TargetMode="External"/><Relationship Id="rId447" Type="http://schemas.openxmlformats.org/officeDocument/2006/relationships/hyperlink" Target="https://www.itu.int/rec/T-REC-G.997.1-201805-I!Amd2" TargetMode="External"/><Relationship Id="rId612" Type="http://schemas.openxmlformats.org/officeDocument/2006/relationships/hyperlink" Target="https://www.itu.int/ITU-T/recommendations/rec.aspx?id=13195&amp;lang=enhttps://www.itu.int/ITU-T/recommendations/rec.aspx?id=13195" TargetMode="External"/><Relationship Id="rId794" Type="http://schemas.openxmlformats.org/officeDocument/2006/relationships/hyperlink" Target="http://www.itu.int/ITU-T/recommendations/rec.aspx?rec=11670" TargetMode="External"/><Relationship Id="rId1035" Type="http://schemas.openxmlformats.org/officeDocument/2006/relationships/hyperlink" Target="https://www.itu.int/en/ITU-T/Workshops-and-Seminars/20171113/Pages/default.aspx" TargetMode="External"/><Relationship Id="rId251" Type="http://schemas.openxmlformats.org/officeDocument/2006/relationships/hyperlink" Target="https://www.itu.int/ITU-T/recommendations/rec.aspx?id=13169" TargetMode="External"/><Relationship Id="rId489" Type="http://schemas.openxmlformats.org/officeDocument/2006/relationships/hyperlink" Target="http://www.itu.int/ITU-T/recommendations/rec.aspx?rec=12192" TargetMode="External"/><Relationship Id="rId654" Type="http://schemas.openxmlformats.org/officeDocument/2006/relationships/hyperlink" Target="https://www.itu.int/ITU-T/recommendations/rec.aspx?id=13409&amp;lang=en" TargetMode="External"/><Relationship Id="rId696" Type="http://schemas.openxmlformats.org/officeDocument/2006/relationships/hyperlink" Target="https://www.itu.int/ITU-T/recommendations/rec.aspx?id=13717&amp;lang=en" TargetMode="External"/><Relationship Id="rId861" Type="http://schemas.openxmlformats.org/officeDocument/2006/relationships/hyperlink" Target="http://www.itu.int/ITU-T/recommendations/rec.aspx?rec=8611&amp;lang=en" TargetMode="External"/><Relationship Id="rId917" Type="http://schemas.openxmlformats.org/officeDocument/2006/relationships/hyperlink" Target="https://www.itu.int/en/ITU-T/C-I/Pages/HFT-mobile-tests/roundtable_march17.aspx" TargetMode="External"/><Relationship Id="rId959" Type="http://schemas.openxmlformats.org/officeDocument/2006/relationships/hyperlink" Target="https://www.itu.int/en/ITU-T/Workshops-and-Seminars/bsg/112017/Pages/default.aspx" TargetMode="External"/><Relationship Id="rId46" Type="http://schemas.openxmlformats.org/officeDocument/2006/relationships/hyperlink" Target="http://www.itu.int/ITU-T/recommendations/rec.aspx?rec=12137" TargetMode="External"/><Relationship Id="rId293" Type="http://schemas.openxmlformats.org/officeDocument/2006/relationships/hyperlink" Target="http://www.itu.int/ITU-T/recommendations/rec.aspx?id=13251&amp;lang=en" TargetMode="External"/><Relationship Id="rId307" Type="http://schemas.openxmlformats.org/officeDocument/2006/relationships/hyperlink" Target="http://www.itu.int/ITU-T/recommendations/rec.aspx?rec=13020" TargetMode="External"/><Relationship Id="rId349" Type="http://schemas.openxmlformats.org/officeDocument/2006/relationships/hyperlink" Target="http://www.itu.int/ITU-T/recommendations/rec.aspx?rec=11482" TargetMode="External"/><Relationship Id="rId514" Type="http://schemas.openxmlformats.org/officeDocument/2006/relationships/hyperlink" Target="http://www.itu.int/ITU-T/recommendations/rec.aspx?rec=12833" TargetMode="External"/><Relationship Id="rId556" Type="http://schemas.openxmlformats.org/officeDocument/2006/relationships/hyperlink" Target="http://www.itu.int/ITU-T/recommendations/rec.aspx?id=6974&amp;lang=en" TargetMode="External"/><Relationship Id="rId721" Type="http://schemas.openxmlformats.org/officeDocument/2006/relationships/hyperlink" Target="http://www.itu.int/ITU-T/recommendations/rec.aspx?rec=11855" TargetMode="External"/><Relationship Id="rId763" Type="http://schemas.openxmlformats.org/officeDocument/2006/relationships/hyperlink" Target="http://www.itu.int/ITU-T/recommendations/rec.aspx?rec=13027" TargetMode="External"/><Relationship Id="rId88" Type="http://schemas.openxmlformats.org/officeDocument/2006/relationships/hyperlink" Target="https://www.itu.int/ITU-T/recommendations/rec.aspx?rec=13655" TargetMode="External"/><Relationship Id="rId111" Type="http://schemas.openxmlformats.org/officeDocument/2006/relationships/hyperlink" Target="https://www.itu.int/ITU-T/recommendations/rec.aspx?id=13380" TargetMode="External"/><Relationship Id="rId153" Type="http://schemas.openxmlformats.org/officeDocument/2006/relationships/hyperlink" Target="http://www.itu.int/ITU-T/recommendations/rec.aspx?rec=12946" TargetMode="External"/><Relationship Id="rId195" Type="http://schemas.openxmlformats.org/officeDocument/2006/relationships/hyperlink" Target="https://www.itu.int/ITU-T/recommendations/rec.aspx?id=13480&amp;lang=en" TargetMode="External"/><Relationship Id="rId209" Type="http://schemas.openxmlformats.org/officeDocument/2006/relationships/hyperlink" Target="https://www.itu.int/ITU-T/recommendations/rec.aspx?rec=13053" TargetMode="External"/><Relationship Id="rId360" Type="http://schemas.openxmlformats.org/officeDocument/2006/relationships/hyperlink" Target="https://www.itu.int/ITU-T/recommendations/rec.aspx?id=13522" TargetMode="External"/><Relationship Id="rId416" Type="http://schemas.openxmlformats.org/officeDocument/2006/relationships/hyperlink" Target="https://www.itu.int/rec/T-REC-G.987.2-201708-I!Amd1" TargetMode="External"/><Relationship Id="rId598" Type="http://schemas.openxmlformats.org/officeDocument/2006/relationships/hyperlink" Target="https://www.itu.int/ITU-T/recommendations/rec.aspx?id=13367&amp;lang=en" TargetMode="External"/><Relationship Id="rId819" Type="http://schemas.openxmlformats.org/officeDocument/2006/relationships/hyperlink" Target="http://www.itu.int/ITU-T/recommendations/rec.aspx?id=12150&amp;lang=en" TargetMode="External"/><Relationship Id="rId970" Type="http://schemas.openxmlformats.org/officeDocument/2006/relationships/hyperlink" Target="https://www.itu.int/en/ITU-T/Workshops-and-Seminars/bsg/20180205/Pages/default.aspx" TargetMode="External"/><Relationship Id="rId1004" Type="http://schemas.openxmlformats.org/officeDocument/2006/relationships/hyperlink" Target="http://www.itu.int/ITU-T/recommendations/rec.aspx?id=12216&amp;lang=en" TargetMode="External"/><Relationship Id="rId1046" Type="http://schemas.openxmlformats.org/officeDocument/2006/relationships/hyperlink" Target="https://www.itu.int/en/ITU-T/Workshops-and-Seminars/20180906/Pages/default.aspx" TargetMode="External"/><Relationship Id="rId220" Type="http://schemas.openxmlformats.org/officeDocument/2006/relationships/hyperlink" Target="mailto:https://www.itu.int/ITU-T/recommendations/rec.aspx?id=13483&amp;lang=en" TargetMode="External"/><Relationship Id="rId458" Type="http://schemas.openxmlformats.org/officeDocument/2006/relationships/hyperlink" Target="https://www.itu.int/ITU-T/recommendations/rec.aspx?id=13789&amp;lang=en" TargetMode="External"/><Relationship Id="rId623" Type="http://schemas.openxmlformats.org/officeDocument/2006/relationships/hyperlink" Target="https://www.itu.int/ITU-T/recommendations/rec.aspx?id=13728&amp;lang=en" TargetMode="External"/><Relationship Id="rId665" Type="http://schemas.openxmlformats.org/officeDocument/2006/relationships/hyperlink" Target="http://www.itu.int/ITU-T/recommendations/rec.aspx?rec=13129" TargetMode="External"/><Relationship Id="rId830" Type="http://schemas.openxmlformats.org/officeDocument/2006/relationships/hyperlink" Target="http://www.itu.int/ITU-T/recommendations/rec.aspx?rec=12891" TargetMode="External"/><Relationship Id="rId872" Type="http://schemas.openxmlformats.org/officeDocument/2006/relationships/hyperlink" Target="http://www.itu.int/ITU-T/recommendations/rec.aspx?id=5996&amp;lang=en" TargetMode="External"/><Relationship Id="rId928" Type="http://schemas.openxmlformats.org/officeDocument/2006/relationships/hyperlink" Target="http://www.itu.int/en/ITU-T/academia/kaleidoscope/2016/Pages/default.aspx" TargetMode="External"/><Relationship Id="rId15" Type="http://schemas.openxmlformats.org/officeDocument/2006/relationships/hyperlink" Target="https://www.itu.int/en/ITU-T/focusgroups/dfc/Pages/default.aspx" TargetMode="External"/><Relationship Id="rId57" Type="http://schemas.openxmlformats.org/officeDocument/2006/relationships/hyperlink" Target="http://www.itu.int/rec/T-REC-Y.2070-201501-I/en" TargetMode="External"/><Relationship Id="rId262" Type="http://schemas.openxmlformats.org/officeDocument/2006/relationships/hyperlink" Target="https://www.itu.int/ITU-T/recommendations/rec.aspx?id=13397&amp;lang=en" TargetMode="External"/><Relationship Id="rId318" Type="http://schemas.openxmlformats.org/officeDocument/2006/relationships/hyperlink" Target="http://www.itu.int/ITU-T/recommendations/rec.aspx?rec=871" TargetMode="External"/><Relationship Id="rId525" Type="http://schemas.openxmlformats.org/officeDocument/2006/relationships/hyperlink" Target="http://www.itu.int/ITU-T/recommendations/rec.aspx?rec=12834" TargetMode="External"/><Relationship Id="rId567" Type="http://schemas.openxmlformats.org/officeDocument/2006/relationships/hyperlink" Target="https://www.itu.int/ITU-T/recommendations/rec.aspx?id=13666" TargetMode="External"/><Relationship Id="rId732" Type="http://schemas.openxmlformats.org/officeDocument/2006/relationships/hyperlink" Target="https://www.itu.int/ITU-T/recommendations/rec.aspx?id=13386&amp;lang=en" TargetMode="External"/><Relationship Id="rId99" Type="http://schemas.openxmlformats.org/officeDocument/2006/relationships/hyperlink" Target="https://www.itu.int/ITU-T/recommendations/rec.aspx?id=12848&amp;lang=en" TargetMode="External"/><Relationship Id="rId122" Type="http://schemas.openxmlformats.org/officeDocument/2006/relationships/hyperlink" Target="https://www.itu.int/ITU-T/recommendations/rec.aspx?id=13673" TargetMode="External"/><Relationship Id="rId164" Type="http://schemas.openxmlformats.org/officeDocument/2006/relationships/hyperlink" Target="http://www.itu.int/ITU-T/recommendations/rec.aspx?rec=12955" TargetMode="External"/><Relationship Id="rId371" Type="http://schemas.openxmlformats.org/officeDocument/2006/relationships/hyperlink" Target="http://www.itu.int/ITU-T/recommendations/rec.aspx?rec=999" TargetMode="External"/><Relationship Id="rId774" Type="http://schemas.openxmlformats.org/officeDocument/2006/relationships/hyperlink" Target="https://www.itu.int/ITU-T/recommendations/rec.aspx?id=13502&amp;lang=en" TargetMode="External"/><Relationship Id="rId981" Type="http://schemas.openxmlformats.org/officeDocument/2006/relationships/hyperlink" Target="https://www.itu.int/en/ITU-T/Workshops-and-Seminars/20180506/Pages/default.aspx" TargetMode="External"/><Relationship Id="rId1015" Type="http://schemas.openxmlformats.org/officeDocument/2006/relationships/hyperlink" Target="https://www.itu.int/en/publications/Documents/tsb/2016-InternetOfThings/index.html" TargetMode="External"/><Relationship Id="rId427" Type="http://schemas.openxmlformats.org/officeDocument/2006/relationships/hyperlink" Target="http://www.itu.int/ITU-T/recommendations/rec.aspx?rec=4718" TargetMode="External"/><Relationship Id="rId469" Type="http://schemas.openxmlformats.org/officeDocument/2006/relationships/hyperlink" Target="https://www.itu.int/ITU-T/recommendations/rec.aspx?id=13544&amp;lang=en" TargetMode="External"/><Relationship Id="rId634" Type="http://schemas.openxmlformats.org/officeDocument/2006/relationships/hyperlink" Target="http://www.itu.int/ITU-T/recommendations/rec.aspx?id=12357&amp;lang=en" TargetMode="External"/><Relationship Id="rId676" Type="http://schemas.openxmlformats.org/officeDocument/2006/relationships/hyperlink" Target="http://www.itu.int/ITU-T/recommendations/rec.aspx?rec=13134" TargetMode="External"/><Relationship Id="rId841" Type="http://schemas.openxmlformats.org/officeDocument/2006/relationships/hyperlink" Target="http://www.itu.int/ITU-T/recommendations/rec.aspx?rec=11015" TargetMode="External"/><Relationship Id="rId883" Type="http://schemas.openxmlformats.org/officeDocument/2006/relationships/hyperlink" Target="http://www.itu.int/rec/T-REC-X/recommendation.asp?lang=en&amp;parent=T-REC-X.509" TargetMode="External"/><Relationship Id="rId26" Type="http://schemas.openxmlformats.org/officeDocument/2006/relationships/hyperlink" Target="https://www.itu.int/ITU-T/recommendations/rec.aspx?id=13720&amp;lang=en" TargetMode="External"/><Relationship Id="rId231" Type="http://schemas.openxmlformats.org/officeDocument/2006/relationships/hyperlink" Target="https://www.itu.int/ITU-T/recommendations/rec.aspx?rec=12494" TargetMode="External"/><Relationship Id="rId273" Type="http://schemas.openxmlformats.org/officeDocument/2006/relationships/hyperlink" Target="http://www.itu.int/ITU-T/recommendations/rec.aspx?id=11687&amp;lang=en" TargetMode="External"/><Relationship Id="rId329" Type="http://schemas.openxmlformats.org/officeDocument/2006/relationships/hyperlink" Target="http://www.itu.int/ITU-T/recommendations/rec.aspx?rec=9181" TargetMode="External"/><Relationship Id="rId480" Type="http://schemas.openxmlformats.org/officeDocument/2006/relationships/hyperlink" Target="https://www.itu.int/ITU-T/recommendations/rec.aspx?id=13318&amp;lang=en-US" TargetMode="External"/><Relationship Id="rId536" Type="http://schemas.openxmlformats.org/officeDocument/2006/relationships/hyperlink" Target="https://www.itu.int/ITU-T/recommendations/rec.aspx?id=13777&amp;lang=en" TargetMode="External"/><Relationship Id="rId701" Type="http://schemas.openxmlformats.org/officeDocument/2006/relationships/hyperlink" Target="https://www.itu.int/ITU-T/recommendations/rec.aspx?rec=13474" TargetMode="External"/><Relationship Id="rId939" Type="http://schemas.openxmlformats.org/officeDocument/2006/relationships/hyperlink" Target="https://www.itu.int/en/ITU-T/Workshops-and-Seminars/201705/Pages/default.aspx" TargetMode="External"/><Relationship Id="rId68" Type="http://schemas.openxmlformats.org/officeDocument/2006/relationships/hyperlink" Target="http://www.itu.int/md/meetingdoc.asp?lang=en&amp;parent=T13-SG03-R-0017" TargetMode="External"/><Relationship Id="rId133" Type="http://schemas.openxmlformats.org/officeDocument/2006/relationships/hyperlink" Target="http://www.itu.int/ITU-T/recommendations/rec.aspx?rec=12930" TargetMode="External"/><Relationship Id="rId175" Type="http://schemas.openxmlformats.org/officeDocument/2006/relationships/hyperlink" Target="http://www.itu.int/ITU-T/recommendations/rec.aspx?rec=12582" TargetMode="External"/><Relationship Id="rId340" Type="http://schemas.openxmlformats.org/officeDocument/2006/relationships/hyperlink" Target="http://www.itu.int/ITU-T/recommendations/rec.aspx?rec=729" TargetMode="External"/><Relationship Id="rId578" Type="http://schemas.openxmlformats.org/officeDocument/2006/relationships/hyperlink" Target="https://www.itu.int/ITU-T/recommendations/rec.aspx?id=13671" TargetMode="External"/><Relationship Id="rId743" Type="http://schemas.openxmlformats.org/officeDocument/2006/relationships/hyperlink" Target="http://www.itu.int/ITU-T/recommendations/rec.aspx?rec=12419" TargetMode="External"/><Relationship Id="rId785" Type="http://schemas.openxmlformats.org/officeDocument/2006/relationships/hyperlink" Target="https://www.itu.int/ITU-T/recommendations/rec.aspx?id=13513&amp;lang=en" TargetMode="External"/><Relationship Id="rId950" Type="http://schemas.openxmlformats.org/officeDocument/2006/relationships/hyperlink" Target="http://iot-week.eu/internet-of-things-declaration-to-achieve-the-sustainable-development-goals/" TargetMode="External"/><Relationship Id="rId992" Type="http://schemas.openxmlformats.org/officeDocument/2006/relationships/hyperlink" Target="https://www.itu.int/en/ITU-T/Workshops-and-Seminars/20180912/Pages/default.aspx" TargetMode="External"/><Relationship Id="rId1026" Type="http://schemas.openxmlformats.org/officeDocument/2006/relationships/hyperlink" Target="https://www.worldsmartcity.org/" TargetMode="External"/><Relationship Id="rId200" Type="http://schemas.openxmlformats.org/officeDocument/2006/relationships/hyperlink" Target="http://www.itu.int/ITU-T/recommendations/rec.aspx?rec=13153" TargetMode="External"/><Relationship Id="rId382" Type="http://schemas.openxmlformats.org/officeDocument/2006/relationships/hyperlink" Target="https://www.itu.int/ITU-T/recommendations/rec.aspx?id=11987" TargetMode="External"/><Relationship Id="rId438" Type="http://schemas.openxmlformats.org/officeDocument/2006/relationships/hyperlink" Target="https://www.itu.int/rec/T-REC-G.994.1-201803-P!Amd2" TargetMode="External"/><Relationship Id="rId603" Type="http://schemas.openxmlformats.org/officeDocument/2006/relationships/hyperlink" Target="https://www.itu.int/ITU-T/recommendations/rec.aspx?id=13061" TargetMode="External"/><Relationship Id="rId645" Type="http://schemas.openxmlformats.org/officeDocument/2006/relationships/hyperlink" Target="http://www.itu.int/ITU-T/recommendations/rec.aspx?id=11344&amp;lang=en" TargetMode="External"/><Relationship Id="rId687" Type="http://schemas.openxmlformats.org/officeDocument/2006/relationships/hyperlink" Target="https://www.itu.int/ITU-T/recommendations/rec.aspx?id=13452&amp;lang=en" TargetMode="External"/><Relationship Id="rId810" Type="http://schemas.openxmlformats.org/officeDocument/2006/relationships/hyperlink" Target="http://www.itu.int/ITU-T/recommendations/rec.aspx?rec=12758" TargetMode="External"/><Relationship Id="rId852" Type="http://schemas.openxmlformats.org/officeDocument/2006/relationships/hyperlink" Target="https://www.itu.int/ITU-T/recommendations/rec.aspx?id=13460&amp;lang=en" TargetMode="External"/><Relationship Id="rId908" Type="http://schemas.openxmlformats.org/officeDocument/2006/relationships/hyperlink" Target="http://www.itu.int/en/ITU-T/climatechange/task-force-sc/Pages/default.aspx" TargetMode="External"/><Relationship Id="rId242" Type="http://schemas.openxmlformats.org/officeDocument/2006/relationships/hyperlink" Target="http://www.itu.int/ITU-T/recommendations/rec.aspx?id=13010&amp;lang=en" TargetMode="External"/><Relationship Id="rId284" Type="http://schemas.openxmlformats.org/officeDocument/2006/relationships/hyperlink" Target="http://www.itu.int/ITU-T/recommendations/rec.aspx?id=1321&amp;lang=en" TargetMode="External"/><Relationship Id="rId491" Type="http://schemas.openxmlformats.org/officeDocument/2006/relationships/hyperlink" Target="http://www.itu.int/ITU-T/recommendations/rec.aspx?rec=10910" TargetMode="External"/><Relationship Id="rId505" Type="http://schemas.openxmlformats.org/officeDocument/2006/relationships/hyperlink" Target="https://www.itu.int/ITU-T/recommendations/rec.aspx?id=13552&amp;lang=en" TargetMode="External"/><Relationship Id="rId712" Type="http://schemas.openxmlformats.org/officeDocument/2006/relationships/hyperlink" Target="https://www.itu.int/ITU-T/recommendations/rec.aspx?id=13634&amp;lang=en" TargetMode="External"/><Relationship Id="rId894" Type="http://schemas.openxmlformats.org/officeDocument/2006/relationships/hyperlink" Target="https://www.itu.int/en/publications/Documents/tsb/2016-DubaiCase/index.html" TargetMode="External"/><Relationship Id="rId37" Type="http://schemas.openxmlformats.org/officeDocument/2006/relationships/hyperlink" Target="http://www.itu.int/ITU-T/recommendations/rec.aspx?rec=12205" TargetMode="External"/><Relationship Id="rId79" Type="http://schemas.openxmlformats.org/officeDocument/2006/relationships/hyperlink" Target="mailto:https://www.itu.int/ITU-T/recommendations/rec.aspx?id=13466&amp;lang=en" TargetMode="External"/><Relationship Id="rId102" Type="http://schemas.openxmlformats.org/officeDocument/2006/relationships/hyperlink" Target="https://www.itu.int/ITU-T/recommendations/rec.aspx?id=12846&amp;lang=en" TargetMode="External"/><Relationship Id="rId144" Type="http://schemas.openxmlformats.org/officeDocument/2006/relationships/hyperlink" Target="http://www.itu.int/ITU-T/recommendations/rec.aspx?rec=12941" TargetMode="External"/><Relationship Id="rId547" Type="http://schemas.openxmlformats.org/officeDocument/2006/relationships/hyperlink" Target="https://www.itu.int/ITU-T/recommendations/rec.aspx?id=13296&amp;lang=en-US" TargetMode="External"/><Relationship Id="rId589" Type="http://schemas.openxmlformats.org/officeDocument/2006/relationships/hyperlink" Target="https://www.itu.int/ITU-T/recommendations/rec.aspx?id=13037" TargetMode="External"/><Relationship Id="rId754" Type="http://schemas.openxmlformats.org/officeDocument/2006/relationships/hyperlink" Target="http://www.itu.int/ITU-T/recommendations/rec.aspx?rec=12620" TargetMode="External"/><Relationship Id="rId796" Type="http://schemas.openxmlformats.org/officeDocument/2006/relationships/hyperlink" Target="https://www.itu.int/ITU-T/recommendations/rec.aspx?id=13267&amp;lang=en" TargetMode="External"/><Relationship Id="rId961" Type="http://schemas.openxmlformats.org/officeDocument/2006/relationships/hyperlink" Target="https://www.itu.int/en/ITU-T/studygroups/2017-2020/16/Pages/ws/201710_ILE.aspx" TargetMode="External"/><Relationship Id="rId90" Type="http://schemas.openxmlformats.org/officeDocument/2006/relationships/hyperlink" Target="http://www.itu.int/pub/publications.aspx?lang=en&amp;parent=T-TUT-TRUST-2016-1" TargetMode="External"/><Relationship Id="rId186" Type="http://schemas.openxmlformats.org/officeDocument/2006/relationships/hyperlink" Target="http://www.itu.int/ITU-T/recommendations/rec.aspx?rec=12690" TargetMode="External"/><Relationship Id="rId351" Type="http://schemas.openxmlformats.org/officeDocument/2006/relationships/hyperlink" Target="http://www.itu.int/ITU-T/recommendations/rec.aspx?rec=12362" TargetMode="External"/><Relationship Id="rId393" Type="http://schemas.openxmlformats.org/officeDocument/2006/relationships/hyperlink" Target="http://www.itu.int/ITU-T/recommendations/rec.aspx?id=12369&amp;lang=en" TargetMode="External"/><Relationship Id="rId407" Type="http://schemas.openxmlformats.org/officeDocument/2006/relationships/hyperlink" Target="http://www.itu.int/ITU-T/recommendations/rec.aspx?rec=12184" TargetMode="External"/><Relationship Id="rId449" Type="http://schemas.openxmlformats.org/officeDocument/2006/relationships/hyperlink" Target="http://www.itu.int/ITU-T/recommendations/rec.aspx?rec=12375" TargetMode="External"/><Relationship Id="rId614" Type="http://schemas.openxmlformats.org/officeDocument/2006/relationships/hyperlink" Target="https://www.itu.int/ITU-T/recommendations/rec.aspx?id=13404&amp;lang=en" TargetMode="External"/><Relationship Id="rId656" Type="http://schemas.openxmlformats.org/officeDocument/2006/relationships/hyperlink" Target="https://www.itu.int/ITU-T/recommendations/rec.aspx?rec=13593" TargetMode="External"/><Relationship Id="rId821" Type="http://schemas.openxmlformats.org/officeDocument/2006/relationships/hyperlink" Target="http://www.itu.int/ITU-T/recommendations/rec.aspx?rec=11826" TargetMode="External"/><Relationship Id="rId863" Type="http://schemas.openxmlformats.org/officeDocument/2006/relationships/hyperlink" Target="http://www.itu.int/ITU-T/recommendations/rec.aspx?rec=8619&amp;lang=en" TargetMode="External"/><Relationship Id="rId1037" Type="http://schemas.openxmlformats.org/officeDocument/2006/relationships/hyperlink" Target="https://www.itu.int/en/ITU-T/AI/Pages/201706-default.aspx" TargetMode="External"/><Relationship Id="rId211" Type="http://schemas.openxmlformats.org/officeDocument/2006/relationships/hyperlink" Target="https://www.itu.int/ITU-T/recommendations/rec.aspx?rec=12104" TargetMode="External"/><Relationship Id="rId253" Type="http://schemas.openxmlformats.org/officeDocument/2006/relationships/hyperlink" Target="https://www.itu.int/ITU-T/recommendations/rec.aspx?id=11683&amp;lang=en" TargetMode="External"/><Relationship Id="rId295" Type="http://schemas.openxmlformats.org/officeDocument/2006/relationships/hyperlink" Target="https://www.itu.int/ITU-T/recommendations/rec.aspx?id=13465&amp;lang=en" TargetMode="External"/><Relationship Id="rId309" Type="http://schemas.openxmlformats.org/officeDocument/2006/relationships/hyperlink" Target="https://www.itu.int/ITU-T/recommendations/rec.aspx?id=13469&amp;lang=en" TargetMode="External"/><Relationship Id="rId460" Type="http://schemas.openxmlformats.org/officeDocument/2006/relationships/hyperlink" Target="https://www.itu.int/ITU-T/recommendations/rec.aspx?id=13760&amp;lang=en" TargetMode="External"/><Relationship Id="rId516" Type="http://schemas.openxmlformats.org/officeDocument/2006/relationships/hyperlink" Target="https://www.itu.int/ITU-T/recommendations/rec.aspx?id=12833&amp;lang=en" TargetMode="External"/><Relationship Id="rId698" Type="http://schemas.openxmlformats.org/officeDocument/2006/relationships/hyperlink" Target="https://www.itu.int/ITU-T/recommendations/rec.aspx?rec=13271" TargetMode="External"/><Relationship Id="rId919" Type="http://schemas.openxmlformats.org/officeDocument/2006/relationships/hyperlink" Target="https://www.itu.int/en/ITU-T/Workshops-and-Seminars/201807/Pages/default.aspx" TargetMode="External"/><Relationship Id="rId48" Type="http://schemas.openxmlformats.org/officeDocument/2006/relationships/hyperlink" Target="https://www.itu.int/ITU-T/recommendations/rec.aspx?id=13580" TargetMode="External"/><Relationship Id="rId113" Type="http://schemas.openxmlformats.org/officeDocument/2006/relationships/hyperlink" Target="https://www.itu.int/ITU-T/recommendations/rec.aspx?id=13729&amp;lang=en" TargetMode="External"/><Relationship Id="rId320" Type="http://schemas.openxmlformats.org/officeDocument/2006/relationships/hyperlink" Target="http://www.itu.int/ITU-T/recommendations/rec.aspx?rec=873" TargetMode="External"/><Relationship Id="rId558" Type="http://schemas.openxmlformats.org/officeDocument/2006/relationships/hyperlink" Target="https://www.itu.int/ITU-T/recommendations/rec.aspx?rec=12841" TargetMode="External"/><Relationship Id="rId723" Type="http://schemas.openxmlformats.org/officeDocument/2006/relationships/hyperlink" Target="http://www.itu.int/ITU-T/recommendations/rec.aspx?rec=9530" TargetMode="External"/><Relationship Id="rId765" Type="http://schemas.openxmlformats.org/officeDocument/2006/relationships/hyperlink" Target="https://www.itu.int/ITU-T/recommendations/rec.aspx?id=13498&amp;lang=en" TargetMode="External"/><Relationship Id="rId930" Type="http://schemas.openxmlformats.org/officeDocument/2006/relationships/hyperlink" Target="https://www.itu.int/en/ITU-T/academia/kaleidoscope/2018/Pages/default.aspx" TargetMode="External"/><Relationship Id="rId972" Type="http://schemas.openxmlformats.org/officeDocument/2006/relationships/hyperlink" Target="http://www.itu.int/en/fnc/2017/Pages/default.aspx" TargetMode="External"/><Relationship Id="rId1006" Type="http://schemas.openxmlformats.org/officeDocument/2006/relationships/hyperlink" Target="http://www.itu.int/ITU-T/recommendations/rec.aspx?id=13240&amp;lang=en" TargetMode="External"/><Relationship Id="rId155" Type="http://schemas.openxmlformats.org/officeDocument/2006/relationships/hyperlink" Target="http://www.itu.int/ITU-T/recommendations/rec.aspx?rec=12948" TargetMode="External"/><Relationship Id="rId197" Type="http://schemas.openxmlformats.org/officeDocument/2006/relationships/hyperlink" Target="http://www.itu.int/ITU-T/recommendations/rec.aspx?rec=12964" TargetMode="External"/><Relationship Id="rId362" Type="http://schemas.openxmlformats.org/officeDocument/2006/relationships/hyperlink" Target="https://www.itu.int/ITU-T/recommendations/rec.aspx?id=9414" TargetMode="External"/><Relationship Id="rId418" Type="http://schemas.openxmlformats.org/officeDocument/2006/relationships/hyperlink" Target="http://www.itu.int/ITU-T/recommendations/rec.aspx?rec=11500" TargetMode="External"/><Relationship Id="rId625" Type="http://schemas.openxmlformats.org/officeDocument/2006/relationships/hyperlink" Target="https://www.itu.int/ITU-T/recommendations/rec.aspx?id=13726&amp;lang=en" TargetMode="External"/><Relationship Id="rId832" Type="http://schemas.openxmlformats.org/officeDocument/2006/relationships/hyperlink" Target="http://www.itu.int/ITU-T/recommendations/rec.aspx?rec=13151" TargetMode="External"/><Relationship Id="rId1048" Type="http://schemas.openxmlformats.org/officeDocument/2006/relationships/hyperlink" Target="https://www.itu.int/en/ITU-T/Workshops-and-Seminars/20180925/Pages/default.aspx" TargetMode="External"/><Relationship Id="rId222" Type="http://schemas.openxmlformats.org/officeDocument/2006/relationships/hyperlink" Target="mailto:https://www.itu.int/ITU-T/recommendations/rec.aspx?id=13485&amp;lang=en" TargetMode="External"/><Relationship Id="rId264" Type="http://schemas.openxmlformats.org/officeDocument/2006/relationships/hyperlink" Target="https://www.itu.int/ITU-T/recommendations/rec.aspx?id=13626&amp;lang=en" TargetMode="External"/><Relationship Id="rId471" Type="http://schemas.openxmlformats.org/officeDocument/2006/relationships/hyperlink" Target="https://www.itu.int/rec/T-REC-G.8031-201803-P!Amd1" TargetMode="External"/><Relationship Id="rId667" Type="http://schemas.openxmlformats.org/officeDocument/2006/relationships/hyperlink" Target="http://www.itu.int/ITU-T/recommendations/rec.aspx?rec=13131" TargetMode="External"/><Relationship Id="rId874" Type="http://schemas.openxmlformats.org/officeDocument/2006/relationships/hyperlink" Target="http://www.itu.int/ITU-T/recommendations/rec.aspx?id=12150&amp;lang=en" TargetMode="External"/><Relationship Id="rId17" Type="http://schemas.openxmlformats.org/officeDocument/2006/relationships/hyperlink" Target="http://www.itu.int/en/ITU-T/focusgroups/dfs/Pages/deliverables.aspx" TargetMode="External"/><Relationship Id="rId59" Type="http://schemas.openxmlformats.org/officeDocument/2006/relationships/hyperlink" Target="https://www.itu.int/ITU-T/recommendations/rec.aspx?id=13614&amp;lang=en" TargetMode="External"/><Relationship Id="rId124" Type="http://schemas.openxmlformats.org/officeDocument/2006/relationships/hyperlink" Target="http://www.itu.int/ITU-T/recommendations/rec.aspx?rec=12921" TargetMode="External"/><Relationship Id="rId527" Type="http://schemas.openxmlformats.org/officeDocument/2006/relationships/hyperlink" Target="https://www.itu.int/ITU-T/recommendations/rec.aspx?id=13294&amp;lang=en-US" TargetMode="External"/><Relationship Id="rId569" Type="http://schemas.openxmlformats.org/officeDocument/2006/relationships/hyperlink" Target="https://www.itu.int/ITU-T/recommendations/rec.aspx?id=13668" TargetMode="External"/><Relationship Id="rId734" Type="http://schemas.openxmlformats.org/officeDocument/2006/relationships/hyperlink" Target="https://www.itu.int/ITU-T/recommendations/rec.aspx?id=13497&amp;lang=en" TargetMode="External"/><Relationship Id="rId776" Type="http://schemas.openxmlformats.org/officeDocument/2006/relationships/hyperlink" Target="https://www.itu.int/ITU-T/recommendations/rec.aspx?id=13504&amp;lang=en" TargetMode="External"/><Relationship Id="rId941" Type="http://schemas.openxmlformats.org/officeDocument/2006/relationships/hyperlink" Target="https://www.itu.int/en/ITU-T/Workshops-and-Seminars/20180530/Documents/BuenosAires-Declaration-English-Final.pdf" TargetMode="External"/><Relationship Id="rId983" Type="http://schemas.openxmlformats.org/officeDocument/2006/relationships/hyperlink" Target="https://www.itu.int/en/ITU-T/Workshops-and-Seminars/20180604/Pages/default.aspx" TargetMode="External"/><Relationship Id="rId70" Type="http://schemas.openxmlformats.org/officeDocument/2006/relationships/hyperlink" Target="http://www.itu.int/ITU-T/recommendations/rec.aspx?id=12830&amp;lang=en" TargetMode="External"/><Relationship Id="rId166" Type="http://schemas.openxmlformats.org/officeDocument/2006/relationships/hyperlink" Target="http://www.itu.int/ITU-T/recommendations/rec.aspx?rec=12957" TargetMode="External"/><Relationship Id="rId331" Type="http://schemas.openxmlformats.org/officeDocument/2006/relationships/hyperlink" Target="http://www.itu.int/ITU-T/recommendations/rec.aspx?rec=10869" TargetMode="External"/><Relationship Id="rId373" Type="http://schemas.openxmlformats.org/officeDocument/2006/relationships/hyperlink" Target="file://C:\_Euchner\_ITU-T\SDG\specifies%20the%20maximum%20network%20limits%20of%20jitter%20and%20wander%20that%20shall%20not%20be%20exceeded%20at%20relevant%20transport%20or%20synchronization%20network%20interfaces%20and%20the%20minimum%20equipment%20tolerance%20to%20jitter%20and%20wander%20that%20shall%20be%20provided%20at%20any%20relevant%20synchronization%20or%20transport%20interface.%20The%20requirements%20for%20jitter%20and%20wander%20characteristics%20that%20are%20specified%20in%20this%20ITU-T%20Recommendation%20must%20be%20adhered%20to%20ensure%20interoperability%20of%20equipment%20produced%20by%20different%20manufacturers%20and%20satisfactory%20network%20performance.http:\www.itu.int\ITU-T\recommendations\rec.aspx?rec=4963" TargetMode="External"/><Relationship Id="rId429" Type="http://schemas.openxmlformats.org/officeDocument/2006/relationships/hyperlink" Target="file://C:\_Euchner\_ITU-T\SDG\describes%20asymmetric%20digital%20subscriber%20line%20(ADSL)%20transceivers%20on%20a%20metallic%20twisted%20pair%20that%20allows%20high&#8209;speed%20data%20transmission%20between%20the%20network%20operator%20end%20(ATU&#8209;C)%20and%20the%20customer%20end%20(ATU&#8209;R).%20It%20defines%20a%20variety%20of%20frame%20bearers%20in%20conjunction%20with%20one%20of%20two%20other%20services,%20or%20without%20underlying%20service,%20dependent%20on%20the%20environment:http:\www.itu.int\ITU-T\recommendations\rec.aspx?rec=9652" TargetMode="External"/><Relationship Id="rId580" Type="http://schemas.openxmlformats.org/officeDocument/2006/relationships/hyperlink" Target="https://www.itu.int/ITU-T/recommendations/rec.aspx?id=13692" TargetMode="External"/><Relationship Id="rId636" Type="http://schemas.openxmlformats.org/officeDocument/2006/relationships/hyperlink" Target="http://www.itu.int/ITU-T/recommendations/rec.aspx?id=11610&amp;lang=en" TargetMode="External"/><Relationship Id="rId801" Type="http://schemas.openxmlformats.org/officeDocument/2006/relationships/hyperlink" Target="http://www.itu.int/ITU-T/recommendations/rec.aspx?rec=12884" TargetMode="External"/><Relationship Id="rId1017" Type="http://schemas.openxmlformats.org/officeDocument/2006/relationships/hyperlink" Target="http://www.itu.int/oth/T2301000020/en" TargetMode="External"/><Relationship Id="rId1" Type="http://schemas.openxmlformats.org/officeDocument/2006/relationships/customXml" Target="../customXml/item1.xml"/><Relationship Id="rId233" Type="http://schemas.openxmlformats.org/officeDocument/2006/relationships/hyperlink" Target="https://www.itu.int/ITU-T/recommendations/rec.aspx?rec=12497" TargetMode="External"/><Relationship Id="rId440" Type="http://schemas.openxmlformats.org/officeDocument/2006/relationships/hyperlink" Target="https://www.itu.int/rec/T-REC-G.994.1-201712-P!Amd9" TargetMode="External"/><Relationship Id="rId678" Type="http://schemas.openxmlformats.org/officeDocument/2006/relationships/hyperlink" Target="http://www.itu.int/ITU-T/recommendations/rec.aspx?rec=13136" TargetMode="External"/><Relationship Id="rId843" Type="http://schemas.openxmlformats.org/officeDocument/2006/relationships/hyperlink" Target="http://www.itu.int/ITU-T/recommendations/rec.aspx?rec=11431" TargetMode="External"/><Relationship Id="rId885" Type="http://schemas.openxmlformats.org/officeDocument/2006/relationships/hyperlink" Target="http://www.itu.int/ITU-T/recommendations/rec.aspx?id=10440&amp;lang=en" TargetMode="External"/><Relationship Id="rId28" Type="http://schemas.openxmlformats.org/officeDocument/2006/relationships/hyperlink" Target="https://www.itu.int/ITU-T/recommendations/rec.aspx?id=13282&amp;lang=en" TargetMode="External"/><Relationship Id="rId275" Type="http://schemas.openxmlformats.org/officeDocument/2006/relationships/hyperlink" Target="https://www.itu.int/ITU-T/recommendations/rec.aspx?id=9269&amp;lang=en" TargetMode="External"/><Relationship Id="rId300" Type="http://schemas.openxmlformats.org/officeDocument/2006/relationships/hyperlink" Target="https://www.itu.int/ITU-T/recommendations/rec.aspx?id=13612&amp;lang=en" TargetMode="External"/><Relationship Id="rId482" Type="http://schemas.openxmlformats.org/officeDocument/2006/relationships/hyperlink" Target="https://www.itu.int/ITU-T/recommendations/rec.aspx?id=13104&amp;lang=en" TargetMode="External"/><Relationship Id="rId538" Type="http://schemas.openxmlformats.org/officeDocument/2006/relationships/hyperlink" Target="http://www.itu.int/ITU-T/recommendations/rec.aspx?rec=11406" TargetMode="External"/><Relationship Id="rId703" Type="http://schemas.openxmlformats.org/officeDocument/2006/relationships/hyperlink" Target="https://www.itu.int/ITU-T/recommendations/rec.aspx?id=13661" TargetMode="External"/><Relationship Id="rId745" Type="http://schemas.openxmlformats.org/officeDocument/2006/relationships/hyperlink" Target="http://www.itu.int/ITU-T/recommendations/rec.aspx?rec=11696" TargetMode="External"/><Relationship Id="rId910" Type="http://schemas.openxmlformats.org/officeDocument/2006/relationships/hyperlink" Target="http://www.itu.int/en/ITU-T/C-I/interop/Pages/IPTV2017May.aspx" TargetMode="External"/><Relationship Id="rId952" Type="http://schemas.openxmlformats.org/officeDocument/2006/relationships/hyperlink" Target="http://www.itu.int/en/ITU-T/academia/kaleidoscope/2013/Pages/default.aspx" TargetMode="External"/><Relationship Id="rId81" Type="http://schemas.openxmlformats.org/officeDocument/2006/relationships/hyperlink" Target="https://www.itu.int/ITU-T/recommendations/rec.aspx?id=13690&amp;lang=en" TargetMode="External"/><Relationship Id="rId135" Type="http://schemas.openxmlformats.org/officeDocument/2006/relationships/hyperlink" Target="http://www.itu.int/ITU-T/recommendations/rec.aspx?rec=12932" TargetMode="External"/><Relationship Id="rId177" Type="http://schemas.openxmlformats.org/officeDocument/2006/relationships/hyperlink" Target="https://www.itu.int/ifa/t/fg/swm/docs/Finalized_Deliverables/fg-swm-i-085r3-Requirements-for-water-sensing-and-early-warning-systems-clean.docx" TargetMode="External"/><Relationship Id="rId342" Type="http://schemas.openxmlformats.org/officeDocument/2006/relationships/hyperlink" Target="http://www.itu.int/ITU-T/recommendations/rec.aspx?rec=8977" TargetMode="External"/><Relationship Id="rId384" Type="http://schemas.openxmlformats.org/officeDocument/2006/relationships/hyperlink" Target="http://www.itu.int/ITU-T/recommendations/rec.aspx?id=13088&amp;lang=en" TargetMode="External"/><Relationship Id="rId591" Type="http://schemas.openxmlformats.org/officeDocument/2006/relationships/hyperlink" Target="http://www.itu.int/ITU-T/recommendations/rec.aspx?id=7024&amp;lang=en" TargetMode="External"/><Relationship Id="rId605" Type="http://schemas.openxmlformats.org/officeDocument/2006/relationships/hyperlink" Target="https://www.itu.int/ITU-T/recommendations/rec.aspx?id=13259&amp;lang=en" TargetMode="External"/><Relationship Id="rId787" Type="http://schemas.openxmlformats.org/officeDocument/2006/relationships/hyperlink" Target="http://www.itu.int/ITU-T/recommendations/rec.aspx?rec=11666" TargetMode="External"/><Relationship Id="rId812" Type="http://schemas.openxmlformats.org/officeDocument/2006/relationships/hyperlink" Target="http://www.itu.int/ITU-T/recommendations/rec.aspx?rec=12760" TargetMode="External"/><Relationship Id="rId994" Type="http://schemas.openxmlformats.org/officeDocument/2006/relationships/hyperlink" Target="https://www.itu.int/en/ITU-T/Workshops-and-Seminars/201810/Pages/default.aspx" TargetMode="External"/><Relationship Id="rId1028" Type="http://schemas.openxmlformats.org/officeDocument/2006/relationships/hyperlink" Target="https://www.itu.int/en/ITU-T/Workshops-and-Seminars/20180127/Pages/default.aspx" TargetMode="External"/><Relationship Id="rId202" Type="http://schemas.openxmlformats.org/officeDocument/2006/relationships/hyperlink" Target="http://www.itu.int/ITU-T/recommendations/rec.aspx?rec=13155" TargetMode="External"/><Relationship Id="rId244" Type="http://schemas.openxmlformats.org/officeDocument/2006/relationships/hyperlink" Target="https://www.itu.int/ITU-T/recommendations/rec.aspx?id=13701&amp;lang=en" TargetMode="External"/><Relationship Id="rId647" Type="http://schemas.openxmlformats.org/officeDocument/2006/relationships/hyperlink" Target="http://www.itu.int/ITU-T/recommendations/rec.aspx?id=11616&amp;lang=en" TargetMode="External"/><Relationship Id="rId689" Type="http://schemas.openxmlformats.org/officeDocument/2006/relationships/hyperlink" Target="https://www.itu.int/ITU-T/recommendations/rec.aspx?id=13454&amp;lang=en" TargetMode="External"/><Relationship Id="rId854" Type="http://schemas.openxmlformats.org/officeDocument/2006/relationships/hyperlink" Target="https://www.itu.int/pub/publications.aspx?lang=en&amp;parent=T-TUT-ICT-2017" TargetMode="External"/><Relationship Id="rId896" Type="http://schemas.openxmlformats.org/officeDocument/2006/relationships/hyperlink" Target="https://www.itu.int/en/publications/Documents/tsb/2017-U4SSC-Enhancing-innovation/index.html" TargetMode="External"/><Relationship Id="rId39" Type="http://schemas.openxmlformats.org/officeDocument/2006/relationships/hyperlink" Target="http://www.itu.int/ITU-T/recommendations/rec.aspx?rec=12136" TargetMode="External"/><Relationship Id="rId286" Type="http://schemas.openxmlformats.org/officeDocument/2006/relationships/hyperlink" Target="https://www.itu.int/ITU-T/recommendations/rec.aspx?id=13462&amp;lang=en" TargetMode="External"/><Relationship Id="rId451" Type="http://schemas.openxmlformats.org/officeDocument/2006/relationships/hyperlink" Target="https://www.itu.int/rec/T-REC-G.997.2-201712-P!Amd4" TargetMode="External"/><Relationship Id="rId493" Type="http://schemas.openxmlformats.org/officeDocument/2006/relationships/hyperlink" Target="http://www.itu.int/ITU-T/recommendations/rec.aspx?rec=13106" TargetMode="External"/><Relationship Id="rId507" Type="http://schemas.openxmlformats.org/officeDocument/2006/relationships/hyperlink" Target="http://www.itu.int/ITU-T/recommendations/rec.aspx?rec=13109" TargetMode="External"/><Relationship Id="rId549" Type="http://schemas.openxmlformats.org/officeDocument/2006/relationships/hyperlink" Target="https://www.itu.int/ITU-T/recommendations/rec.aspx?id=13787&amp;lang=en" TargetMode="External"/><Relationship Id="rId714" Type="http://schemas.openxmlformats.org/officeDocument/2006/relationships/hyperlink" Target="http://www.itu.int/ITU-T/recommendations/rec.aspx?rec=11700" TargetMode="External"/><Relationship Id="rId756" Type="http://schemas.openxmlformats.org/officeDocument/2006/relationships/hyperlink" Target="http://www.itu.int/ITU-T/recommendations/rec.aspx?rec=12647" TargetMode="External"/><Relationship Id="rId921" Type="http://schemas.openxmlformats.org/officeDocument/2006/relationships/hyperlink" Target="http://www.itu.int/en/ITU-T/extcoop/figisymposium/2017/Pages/default.aspx" TargetMode="External"/><Relationship Id="rId50" Type="http://schemas.openxmlformats.org/officeDocument/2006/relationships/hyperlink" Target="https://www.itu.int/ITU-T/recommendations/rec.aspx?id=13723&amp;lang=en" TargetMode="External"/><Relationship Id="rId104" Type="http://schemas.openxmlformats.org/officeDocument/2006/relationships/hyperlink" Target="https://www.itu.int/ITU-T/recommendations/rec.aspx?id=11760" TargetMode="External"/><Relationship Id="rId146" Type="http://schemas.openxmlformats.org/officeDocument/2006/relationships/hyperlink" Target="http://www.itu.int/ITU-T/recommendations/rec.aspx?rec=12939" TargetMode="External"/><Relationship Id="rId188" Type="http://schemas.openxmlformats.org/officeDocument/2006/relationships/hyperlink" Target="https://www.itu.int/ITU-T/recommendations/rec.aspx?id=5484" TargetMode="External"/><Relationship Id="rId311" Type="http://schemas.openxmlformats.org/officeDocument/2006/relationships/hyperlink" Target="https://www.itu.int/ITU-T/recommendations/rec.aspx?rec=13471" TargetMode="External"/><Relationship Id="rId353" Type="http://schemas.openxmlformats.org/officeDocument/2006/relationships/hyperlink" Target="http://www.itu.int/ITU-T/recommendations/rec.aspx?rec=13079" TargetMode="External"/><Relationship Id="rId395" Type="http://schemas.openxmlformats.org/officeDocument/2006/relationships/hyperlink" Target="http://www.itu.int/ITU-T/recommendations/rec.aspx?id=13118&amp;lang=en" TargetMode="External"/><Relationship Id="rId409" Type="http://schemas.openxmlformats.org/officeDocument/2006/relationships/hyperlink" Target="http://www.itu.int/ITU-T/recommendations/rec.aspx?rec=9384" TargetMode="External"/><Relationship Id="rId560" Type="http://schemas.openxmlformats.org/officeDocument/2006/relationships/hyperlink" Target="https://www.itu.int/pub/publications.aspx?lang=en&amp;parent=T-TUT-L-2017-GLR" TargetMode="External"/><Relationship Id="rId798" Type="http://schemas.openxmlformats.org/officeDocument/2006/relationships/hyperlink" Target="http://www.itu.int/ITU-T/recommendations/rec.aspx?rec=12627" TargetMode="External"/><Relationship Id="rId963" Type="http://schemas.openxmlformats.org/officeDocument/2006/relationships/hyperlink" Target="https://www.itu.int/en/ITU-T/Workshops-and-Seminars/20171016/Pages/default.aspx" TargetMode="External"/><Relationship Id="rId1039" Type="http://schemas.openxmlformats.org/officeDocument/2006/relationships/hyperlink" Target="https://www.itu.int/en/ITU-T/Workshops-and-Seminars/ifds/Pages/201704.aspx" TargetMode="External"/><Relationship Id="rId92" Type="http://schemas.openxmlformats.org/officeDocument/2006/relationships/hyperlink" Target="http://www.itu.int/ITU-T/recommendations/rec.aspx?rec=13024" TargetMode="External"/><Relationship Id="rId213" Type="http://schemas.openxmlformats.org/officeDocument/2006/relationships/hyperlink" Target="https://www.itu.int/ITU-T/recommendations/rec.aspx?id=13056" TargetMode="External"/><Relationship Id="rId420" Type="http://schemas.openxmlformats.org/officeDocument/2006/relationships/hyperlink" Target="http://www.itu.int/ITU-T/recommendations/rec.aspx?rec=12561" TargetMode="External"/><Relationship Id="rId616" Type="http://schemas.openxmlformats.org/officeDocument/2006/relationships/hyperlink" Target="https://www.itu.int/ITU-T/recommendations/rec.aspx?id=13262&amp;lang=en" TargetMode="External"/><Relationship Id="rId658" Type="http://schemas.openxmlformats.org/officeDocument/2006/relationships/hyperlink" Target="http://www.itu.int/pub/publications.aspx?lang=en&amp;parent=T-TUT-SEC-2014" TargetMode="External"/><Relationship Id="rId823" Type="http://schemas.openxmlformats.org/officeDocument/2006/relationships/hyperlink" Target="http://www.itu.int/ITU-T/recommendations/rec.aspx?rec=12133" TargetMode="External"/><Relationship Id="rId865" Type="http://schemas.openxmlformats.org/officeDocument/2006/relationships/hyperlink" Target="http://www.itu.int/ITU-T/recommendations/rec.aspx?rec=8617&amp;lang=en" TargetMode="External"/><Relationship Id="rId1050" Type="http://schemas.openxmlformats.org/officeDocument/2006/relationships/header" Target="header1.xml"/><Relationship Id="rId255" Type="http://schemas.openxmlformats.org/officeDocument/2006/relationships/hyperlink" Target="mailto:https://www.itu.int/ITU-T/recommendations/rec.aspx?rec=13393" TargetMode="External"/><Relationship Id="rId297" Type="http://schemas.openxmlformats.org/officeDocument/2006/relationships/hyperlink" Target="https://www.itu.int/ITU-T/recommendations/rec.aspx?id=13253&amp;lang=en" TargetMode="External"/><Relationship Id="rId462" Type="http://schemas.openxmlformats.org/officeDocument/2006/relationships/hyperlink" Target="https://www.itu.int/ITU-T/recommendations/rec.aspx?id=13759&amp;lang=en" TargetMode="External"/><Relationship Id="rId518" Type="http://schemas.openxmlformats.org/officeDocument/2006/relationships/hyperlink" Target="http://www.itu.int/ITU-T/recommendations/rec.aspx?rec=12090" TargetMode="External"/><Relationship Id="rId725" Type="http://schemas.openxmlformats.org/officeDocument/2006/relationships/hyperlink" Target="file:///C:\_Euchner\_ITU-T\SDG\provides%20service%20and%20capability%20requirements%20for%20e-health%20monitoring%20services.http:\www.itu.int\ITU-T\recommendations\rec.aspx%3frec=12072" TargetMode="External"/><Relationship Id="rId932" Type="http://schemas.openxmlformats.org/officeDocument/2006/relationships/hyperlink" Target="https://www.itu.int/en/ITU-T/Workshops-and-Seminars/qos/201707/Pages/default.aspx" TargetMode="External"/><Relationship Id="rId115" Type="http://schemas.openxmlformats.org/officeDocument/2006/relationships/hyperlink" Target="http://www.itu.int/ITU-T/recommendations/rec.aspx?rec=12912" TargetMode="External"/><Relationship Id="rId157" Type="http://schemas.openxmlformats.org/officeDocument/2006/relationships/hyperlink" Target="http://www.itu.int/ITU-T/recommendations/rec.aspx?rec=12950" TargetMode="External"/><Relationship Id="rId322" Type="http://schemas.openxmlformats.org/officeDocument/2006/relationships/hyperlink" Target="http://www.itu.int/ITU-T/recommendations/rec.aspx?rec=875" TargetMode="External"/><Relationship Id="rId364" Type="http://schemas.openxmlformats.org/officeDocument/2006/relationships/hyperlink" Target="https://www.itu.int/rec/T-REC-G.798-201808-I!Amd1" TargetMode="External"/><Relationship Id="rId767" Type="http://schemas.openxmlformats.org/officeDocument/2006/relationships/hyperlink" Target="http://www.itu.int/ITU-T/recommendations/rec.aspx?rec=12707" TargetMode="External"/><Relationship Id="rId974" Type="http://schemas.openxmlformats.org/officeDocument/2006/relationships/hyperlink" Target="https://www.itu.int/en/fnc/2018/Pages/default.aspx" TargetMode="External"/><Relationship Id="rId1008" Type="http://schemas.openxmlformats.org/officeDocument/2006/relationships/hyperlink" Target="https://www.itu.int/en/publications/Documents/tsb/2016-InternetOfThings/index.html" TargetMode="External"/><Relationship Id="rId61" Type="http://schemas.openxmlformats.org/officeDocument/2006/relationships/hyperlink" Target="http://www.itu.int/ITU-T/recommendations/rec.aspx?rec=12208" TargetMode="External"/><Relationship Id="rId199" Type="http://schemas.openxmlformats.org/officeDocument/2006/relationships/hyperlink" Target="http://www.itu.int/ITU-T/recommendations/rec.aspx?rec=13152" TargetMode="External"/><Relationship Id="rId571" Type="http://schemas.openxmlformats.org/officeDocument/2006/relationships/hyperlink" Target="https://www.itu.int/ITU-T/recommendations/rec.aspx?id=13435&amp;lang=en" TargetMode="External"/><Relationship Id="rId627" Type="http://schemas.openxmlformats.org/officeDocument/2006/relationships/hyperlink" Target="https://www.itu.int/ITU-T/recommendations/rec.aspx?id=13197" TargetMode="External"/><Relationship Id="rId669" Type="http://schemas.openxmlformats.org/officeDocument/2006/relationships/hyperlink" Target="http://www.itu.int/ITU-T/recommendations/rec.aspx?id=9140&amp;lang=en" TargetMode="External"/><Relationship Id="rId834" Type="http://schemas.openxmlformats.org/officeDocument/2006/relationships/hyperlink" Target="http://www.itu.int/ITU-T/recommendations/rec.aspx?rec=13157" TargetMode="External"/><Relationship Id="rId876" Type="http://schemas.openxmlformats.org/officeDocument/2006/relationships/hyperlink" Target="http://www.itu.int/ITU-T/recommendations/rec.aspx?id=10844&amp;lang=en" TargetMode="External"/><Relationship Id="rId19" Type="http://schemas.openxmlformats.org/officeDocument/2006/relationships/hyperlink" Target="https://www.itu.int/en/ITU-T/jca/ahf/Pages/default.aspx" TargetMode="External"/><Relationship Id="rId224" Type="http://schemas.openxmlformats.org/officeDocument/2006/relationships/hyperlink" Target="https://www.itu.int/ITU-T/recommendations/rec.aspx?id=13699&amp;lang=en" TargetMode="External"/><Relationship Id="rId266" Type="http://schemas.openxmlformats.org/officeDocument/2006/relationships/hyperlink" Target="https://www.itu.int/rec/T-REC-P.Imp863-201805-I" TargetMode="External"/><Relationship Id="rId431" Type="http://schemas.openxmlformats.org/officeDocument/2006/relationships/hyperlink" Target="https://www.itu.int/rec/T-REC-G.993.2-201805-I!Amd4" TargetMode="External"/><Relationship Id="rId473" Type="http://schemas.openxmlformats.org/officeDocument/2006/relationships/hyperlink" Target="https://www.itu.int/ITU-T/recommendations/rec.aspx?id=12549&amp;lang=en" TargetMode="External"/><Relationship Id="rId529" Type="http://schemas.openxmlformats.org/officeDocument/2006/relationships/hyperlink" Target="http://www.itu.int/ITU-T/recommendations/rec.aspx?rec=11822" TargetMode="External"/><Relationship Id="rId680" Type="http://schemas.openxmlformats.org/officeDocument/2006/relationships/hyperlink" Target="http://www.itu.int/ITU-T/recommendations/rec.aspx?rec=13138" TargetMode="External"/><Relationship Id="rId736" Type="http://schemas.openxmlformats.org/officeDocument/2006/relationships/hyperlink" Target="https://www.itu.int/ITU-T/recommendations/rec.aspx?id=13636&amp;lang=en" TargetMode="External"/><Relationship Id="rId901" Type="http://schemas.openxmlformats.org/officeDocument/2006/relationships/hyperlink" Target="https://www.itu.int/en/publications/Documents/tsb/2016-DubaiCase/files/downloads/Dubai%20Case%20Study-410059-FINAL.pdf" TargetMode="External"/><Relationship Id="rId30" Type="http://schemas.openxmlformats.org/officeDocument/2006/relationships/hyperlink" Target="https://www.itu.int/ITU-T/recommendations/rec.aspx?id=13283&amp;lang=en-US" TargetMode="External"/><Relationship Id="rId126" Type="http://schemas.openxmlformats.org/officeDocument/2006/relationships/hyperlink" Target="http://www.itu.int/ITU-T/recommendations/rec.aspx?rec=12923" TargetMode="External"/><Relationship Id="rId168" Type="http://schemas.openxmlformats.org/officeDocument/2006/relationships/hyperlink" Target="https://www.itu.int/ITU-T/recommendations/rec.aspx?id=13440&amp;lang=en" TargetMode="External"/><Relationship Id="rId333" Type="http://schemas.openxmlformats.org/officeDocument/2006/relationships/hyperlink" Target="http://www.itu.int/ITU-T/recommendations/rec.aspx?rec=10390" TargetMode="External"/><Relationship Id="rId540" Type="http://schemas.openxmlformats.org/officeDocument/2006/relationships/hyperlink" Target="https://www.itu.int/ITU-T/recommendations/rec.aspx?id=13780&amp;lang=en" TargetMode="External"/><Relationship Id="rId778" Type="http://schemas.openxmlformats.org/officeDocument/2006/relationships/hyperlink" Target="https://www.itu.int/ITU-T/recommendations/rec.aspx?id=13506&amp;lang=en" TargetMode="External"/><Relationship Id="rId943" Type="http://schemas.openxmlformats.org/officeDocument/2006/relationships/hyperlink" Target="https://www.itu.int/en/ITU-T/Workshops-and-Seminars/20180531/Pages/Programme.aspx" TargetMode="External"/><Relationship Id="rId985" Type="http://schemas.openxmlformats.org/officeDocument/2006/relationships/hyperlink" Target="https://www.itu.int/en/ITU-T/Workshops-and-Seminars/20180709/Pages/default.aspx" TargetMode="External"/><Relationship Id="rId1019" Type="http://schemas.openxmlformats.org/officeDocument/2006/relationships/hyperlink" Target="http://www.itu.int/oth/T2301000013/en" TargetMode="External"/><Relationship Id="rId72" Type="http://schemas.openxmlformats.org/officeDocument/2006/relationships/hyperlink" Target="https://www.itu.int/pub/T-TUT-ECOPO-2017" TargetMode="External"/><Relationship Id="rId375" Type="http://schemas.openxmlformats.org/officeDocument/2006/relationships/hyperlink" Target="http://www.itu.int/ITU-T/recommendations/rec.aspx?rec=6186" TargetMode="External"/><Relationship Id="rId582" Type="http://schemas.openxmlformats.org/officeDocument/2006/relationships/hyperlink" Target="https://www.itu.int/ITU-T/recommendations/rec.aspx?id=13029" TargetMode="External"/><Relationship Id="rId638" Type="http://schemas.openxmlformats.org/officeDocument/2006/relationships/hyperlink" Target="http://www.itu.int/ITU-T/recommendations/rec.aspx?id=11612&amp;lang=en" TargetMode="External"/><Relationship Id="rId803" Type="http://schemas.openxmlformats.org/officeDocument/2006/relationships/hyperlink" Target="http://www.itu.int/ITU-T/recommendations/rec.aspx?rec=12754" TargetMode="External"/><Relationship Id="rId845" Type="http://schemas.openxmlformats.org/officeDocument/2006/relationships/hyperlink" Target="http://www.itu.int/ITU-T/recommendations/rec.aspx?rec=12431" TargetMode="External"/><Relationship Id="rId1030" Type="http://schemas.openxmlformats.org/officeDocument/2006/relationships/hyperlink" Target="http://ices2018.uii.ac.id/conference-agenda/" TargetMode="External"/><Relationship Id="rId3" Type="http://schemas.openxmlformats.org/officeDocument/2006/relationships/styles" Target="styles.xml"/><Relationship Id="rId235" Type="http://schemas.openxmlformats.org/officeDocument/2006/relationships/hyperlink" Target="https://www.itu.int/ITU-T/recommendations/rec.aspx?rec=12863" TargetMode="External"/><Relationship Id="rId277" Type="http://schemas.openxmlformats.org/officeDocument/2006/relationships/hyperlink" Target="https://www.itu.int/rec/T-REC-Y.1546-201806-P!Amd1" TargetMode="External"/><Relationship Id="rId400" Type="http://schemas.openxmlformats.org/officeDocument/2006/relationships/hyperlink" Target="http://www.itu.int/ITU-T/recommendations/rec.aspx?rec=5439" TargetMode="External"/><Relationship Id="rId442" Type="http://schemas.openxmlformats.org/officeDocument/2006/relationships/hyperlink" Target="http://www.itu.int/ITU-T/recommendations/rec.aspx?rec=5366" TargetMode="External"/><Relationship Id="rId484" Type="http://schemas.openxmlformats.org/officeDocument/2006/relationships/hyperlink" Target="http://www.itu.int/ITU-T/recommendations/rec.aspx?rec=10906" TargetMode="External"/><Relationship Id="rId705" Type="http://schemas.openxmlformats.org/officeDocument/2006/relationships/hyperlink" Target="https://www.itu.int/ITU-T/recommendations/rec.aspx?id=13571&amp;lang=en" TargetMode="External"/><Relationship Id="rId887" Type="http://schemas.openxmlformats.org/officeDocument/2006/relationships/hyperlink" Target="http://www.itu.int/ITU-T/recommendations/rec.aspx?id=11608&amp;lang=en" TargetMode="External"/><Relationship Id="rId137" Type="http://schemas.openxmlformats.org/officeDocument/2006/relationships/hyperlink" Target="https://www.itu.int/ITU-T/recommendations/rec.aspx?id=13675" TargetMode="External"/><Relationship Id="rId302" Type="http://schemas.openxmlformats.org/officeDocument/2006/relationships/hyperlink" Target="http://www.itu.int/ITU-T/recommendations/rec.aspx?rec=12078" TargetMode="External"/><Relationship Id="rId344" Type="http://schemas.openxmlformats.org/officeDocument/2006/relationships/hyperlink" Target="http://www.itu.int/ITU-T/recommendations/rec.aspx?rec=11773" TargetMode="External"/><Relationship Id="rId691" Type="http://schemas.openxmlformats.org/officeDocument/2006/relationships/hyperlink" Target="https://www.itu.int/ITU-T/recommendations/rec.aspx?id=13456&amp;lang=en" TargetMode="External"/><Relationship Id="rId747" Type="http://schemas.openxmlformats.org/officeDocument/2006/relationships/hyperlink" Target="http://www.itu.int/ITU-T/recommendations/rec.aspx?rec=9490" TargetMode="External"/><Relationship Id="rId789" Type="http://schemas.openxmlformats.org/officeDocument/2006/relationships/hyperlink" Target="http://www.itu.int/ITU-T/recommendations/rec.aspx?rec=12780" TargetMode="External"/><Relationship Id="rId912" Type="http://schemas.openxmlformats.org/officeDocument/2006/relationships/hyperlink" Target="http://www.itu.int/go/pilot-projects" TargetMode="External"/><Relationship Id="rId954" Type="http://schemas.openxmlformats.org/officeDocument/2006/relationships/hyperlink" Target="https://www.itu.int/en/ITU-T/Workshops-and-Seminars/gsw/201804/Pages/default.aspx" TargetMode="External"/><Relationship Id="rId996" Type="http://schemas.openxmlformats.org/officeDocument/2006/relationships/hyperlink" Target="http://www.itu.int/en/ITU-T/focusgroups/innovation/Pages/default.aspx" TargetMode="External"/><Relationship Id="rId41" Type="http://schemas.openxmlformats.org/officeDocument/2006/relationships/hyperlink" Target="http://www.itu.int/ITU-T/recommendations/rec.aspx?rec=13146" TargetMode="External"/><Relationship Id="rId83" Type="http://schemas.openxmlformats.org/officeDocument/2006/relationships/hyperlink" Target="https://www.itu.int/ITU-T/recommendations/rec.aspx?id=13351&amp;lang=en-US" TargetMode="External"/><Relationship Id="rId179" Type="http://schemas.openxmlformats.org/officeDocument/2006/relationships/hyperlink" Target="https://www.itu.int/ifa/t/fg/swm/docs/Finalized_Deliverables/fg-swm-i-089r2-SWM-Global-initiatives-and-key-stakeholders.docx" TargetMode="External"/><Relationship Id="rId386" Type="http://schemas.openxmlformats.org/officeDocument/2006/relationships/hyperlink" Target="http://www.itu.int/ITU-T/recommendations/rec.aspx?id=13117&amp;lang=en" TargetMode="External"/><Relationship Id="rId551" Type="http://schemas.openxmlformats.org/officeDocument/2006/relationships/hyperlink" Target="https://www.itu.int/ITU-T/recommendations/rec.aspx?id=13297&amp;lang=en-US" TargetMode="External"/><Relationship Id="rId593" Type="http://schemas.openxmlformats.org/officeDocument/2006/relationships/hyperlink" Target="http://www.itu.int/ITU-T/recommendations/rec.aspx?id=13058&amp;lang=en" TargetMode="External"/><Relationship Id="rId607" Type="http://schemas.openxmlformats.org/officeDocument/2006/relationships/hyperlink" Target="http://www.itu.int/ITU-T/recommendations/rec.aspx?id=8845&amp;lang=en" TargetMode="External"/><Relationship Id="rId649" Type="http://schemas.openxmlformats.org/officeDocument/2006/relationships/hyperlink" Target="http://www.itu.int/ITU-T/recommendations/rec.aspx?id=12613&amp;lang=en" TargetMode="External"/><Relationship Id="rId814" Type="http://schemas.openxmlformats.org/officeDocument/2006/relationships/hyperlink" Target="http://www.itu.int/ITU-T/recommendations/rec.aspx?rec=12977" TargetMode="External"/><Relationship Id="rId856" Type="http://schemas.openxmlformats.org/officeDocument/2006/relationships/hyperlink" Target="http://www.itu.int/ITU-T/recommendations/rec.aspx?rec=7365" TargetMode="External"/><Relationship Id="rId190" Type="http://schemas.openxmlformats.org/officeDocument/2006/relationships/hyperlink" Target="mailto:https://www.itu.int/rec/T-REC-M.1400-201801-P!Amd1" TargetMode="External"/><Relationship Id="rId204" Type="http://schemas.openxmlformats.org/officeDocument/2006/relationships/hyperlink" Target="https://www.itu.int/en/ITU-T/jca/sdn/Pages/default.aspx" TargetMode="External"/><Relationship Id="rId246" Type="http://schemas.openxmlformats.org/officeDocument/2006/relationships/hyperlink" Target="https://www.itu.int/ITU-T/recommendations/rec.aspx?id=13493&amp;lang=en" TargetMode="External"/><Relationship Id="rId288" Type="http://schemas.openxmlformats.org/officeDocument/2006/relationships/hyperlink" Target="https://www.itu.int/ITU-T/recommendations/rec.aspx?id=13463&amp;lang=en" TargetMode="External"/><Relationship Id="rId411" Type="http://schemas.openxmlformats.org/officeDocument/2006/relationships/hyperlink" Target="http://www.itu.int/ITU-T/recommendations/rec.aspx?rec=6274" TargetMode="External"/><Relationship Id="rId453" Type="http://schemas.openxmlformats.org/officeDocument/2006/relationships/hyperlink" Target="http://www.itu.int/ITU-T/recommendations/rec.aspx?rec=13123" TargetMode="External"/><Relationship Id="rId509" Type="http://schemas.openxmlformats.org/officeDocument/2006/relationships/hyperlink" Target="https://www.itu.int/ITU-T/recommendations/rec.aspx?id=13327&amp;lang=en" TargetMode="External"/><Relationship Id="rId660" Type="http://schemas.openxmlformats.org/officeDocument/2006/relationships/hyperlink" Target="http://www.itu.int/ITU-T/recommendations/rec.aspx?rec=13126" TargetMode="External"/><Relationship Id="rId898" Type="http://schemas.openxmlformats.org/officeDocument/2006/relationships/hyperlink" Target="https://www.itu.int/en/ITU-T/ssc/united/Pages/default.aspx" TargetMode="External"/><Relationship Id="rId1041" Type="http://schemas.openxmlformats.org/officeDocument/2006/relationships/hyperlink" Target="https://www.itu.int/en/ITU-T/extcoop/cits/Pages/default.aspx" TargetMode="External"/><Relationship Id="rId106" Type="http://schemas.openxmlformats.org/officeDocument/2006/relationships/hyperlink" Target="https://www.itu.int/ITU-T/recommendations/rec.aspx?id=13371" TargetMode="External"/><Relationship Id="rId313" Type="http://schemas.openxmlformats.org/officeDocument/2006/relationships/hyperlink" Target="http://www.itu.int/pub/publications.aspx?lang=en&amp;parent=T-TUT-NGN-2015" TargetMode="External"/><Relationship Id="rId495" Type="http://schemas.openxmlformats.org/officeDocument/2006/relationships/hyperlink" Target="http://www.itu.int/ITU-T/recommendations/rec.aspx?rec=12812" TargetMode="External"/><Relationship Id="rId716" Type="http://schemas.openxmlformats.org/officeDocument/2006/relationships/hyperlink" Target="http://www.itu.int/ITU-T/recommendations/rec.aspx?rec=12170" TargetMode="External"/><Relationship Id="rId758" Type="http://schemas.openxmlformats.org/officeDocument/2006/relationships/hyperlink" Target="https://www.itu.int/ITU-T/recommendations/rec.aspx?id=13638&amp;lang=en" TargetMode="External"/><Relationship Id="rId923" Type="http://schemas.openxmlformats.org/officeDocument/2006/relationships/hyperlink" Target="http://www.sae.org/" TargetMode="External"/><Relationship Id="rId965" Type="http://schemas.openxmlformats.org/officeDocument/2006/relationships/hyperlink" Target="https://www.itu.int/en/ITU-T/Workshops-and-Seminars/20170405/Pages/default.aspx" TargetMode="External"/><Relationship Id="rId10" Type="http://schemas.openxmlformats.org/officeDocument/2006/relationships/hyperlink" Target="https://www.itu.int/en/ITU-T/studygroups/2017-2020/20/sg20rgafr/Pages/default.aspx" TargetMode="External"/><Relationship Id="rId52" Type="http://schemas.openxmlformats.org/officeDocument/2006/relationships/hyperlink" Target="https://www.itu.int/ITU-T/recommendations/rec.aspx?id=13724&amp;lang=en" TargetMode="External"/><Relationship Id="rId94" Type="http://schemas.openxmlformats.org/officeDocument/2006/relationships/hyperlink" Target="https://www.itu.int/en/ITU-T/focusgroups/ai4h" TargetMode="External"/><Relationship Id="rId148" Type="http://schemas.openxmlformats.org/officeDocument/2006/relationships/hyperlink" Target="http://www.itu.int/ITU-T/recommendations/rec.aspx?rec=12941" TargetMode="External"/><Relationship Id="rId355" Type="http://schemas.openxmlformats.org/officeDocument/2006/relationships/hyperlink" Target="http://www.itu.int/ITU-T/recommendations/rec.aspx?rec=10396" TargetMode="External"/><Relationship Id="rId397" Type="http://schemas.openxmlformats.org/officeDocument/2006/relationships/hyperlink" Target="http://www.itu.int/ITU-T/recommendations/rec.aspx?rec=3833" TargetMode="External"/><Relationship Id="rId520" Type="http://schemas.openxmlformats.org/officeDocument/2006/relationships/hyperlink" Target="https://www.itu.int/ITU-T/recommendations/rec.aspx?id=12090&amp;lang=en" TargetMode="External"/><Relationship Id="rId562" Type="http://schemas.openxmlformats.org/officeDocument/2006/relationships/hyperlink" Target="https://www.itu.int/ITU-T/recommendations/rec.aspx?id=13657" TargetMode="External"/><Relationship Id="rId618" Type="http://schemas.openxmlformats.org/officeDocument/2006/relationships/hyperlink" Target="https://www.itu.int/ITU-T/recommendations/rec.aspx?id=13405&amp;lang=en" TargetMode="External"/><Relationship Id="rId825" Type="http://schemas.openxmlformats.org/officeDocument/2006/relationships/hyperlink" Target="http://www.itu.int/ITU-T/recommendations/rec.aspx?rec=12134" TargetMode="External"/><Relationship Id="rId215" Type="http://schemas.openxmlformats.org/officeDocument/2006/relationships/hyperlink" Target="https://www.itu.int/ITU-T/recommendations/rec.aspx?id=13564&amp;lang=en" TargetMode="External"/><Relationship Id="rId257" Type="http://schemas.openxmlformats.org/officeDocument/2006/relationships/hyperlink" Target="http://www.itu.int/ITU-T/recommendations/rec.aspx?id=13408&amp;lang=en" TargetMode="External"/><Relationship Id="rId422" Type="http://schemas.openxmlformats.org/officeDocument/2006/relationships/hyperlink" Target="http://www.itu.int/ITU-T/recommendations/rec.aspx?rec=12097" TargetMode="External"/><Relationship Id="rId464" Type="http://schemas.openxmlformats.org/officeDocument/2006/relationships/hyperlink" Target="https://www.itu.int/rec/T-REC-G.7701-201803-P!Amd1" TargetMode="External"/><Relationship Id="rId867" Type="http://schemas.openxmlformats.org/officeDocument/2006/relationships/hyperlink" Target="http://www.itu.int/ITU-T/recommendations/rec.aspx?id=12177&amp;lang=en" TargetMode="External"/><Relationship Id="rId1010" Type="http://schemas.openxmlformats.org/officeDocument/2006/relationships/hyperlink" Target="http://www.itu.int/oth/T2301000018/en" TargetMode="External"/><Relationship Id="rId1052" Type="http://schemas.openxmlformats.org/officeDocument/2006/relationships/theme" Target="theme/theme1.xml"/><Relationship Id="rId299" Type="http://schemas.openxmlformats.org/officeDocument/2006/relationships/hyperlink" Target="https://www.itu.int/ITU-T/recommendations/rec.aspx?id=13616&amp;lang=en" TargetMode="External"/><Relationship Id="rId727" Type="http://schemas.openxmlformats.org/officeDocument/2006/relationships/hyperlink" Target="http://www.itu.int/ITU-T/recommendations/rec.aspx?rec=12706" TargetMode="External"/><Relationship Id="rId934" Type="http://schemas.openxmlformats.org/officeDocument/2006/relationships/hyperlink" Target="https://www.itu.int/en/ITU-D/Regional-Presence/CIS/Pages/EVENTS/2017/06_Saint_Petersburg/06_Saint_Petersburg.aspx" TargetMode="External"/><Relationship Id="rId63" Type="http://schemas.openxmlformats.org/officeDocument/2006/relationships/hyperlink" Target="http://www.itu.int/ITU-T/recommendations/rec.aspx?id=11822&amp;lang=en" TargetMode="External"/><Relationship Id="rId159" Type="http://schemas.openxmlformats.org/officeDocument/2006/relationships/hyperlink" Target="http://www.itu.int/ITU-T/recommendations/rec.aspx?rec=12952" TargetMode="External"/><Relationship Id="rId366" Type="http://schemas.openxmlformats.org/officeDocument/2006/relationships/hyperlink" Target="https://www.itu.int/rec/T-REC-G.808-201803-I!Amd1" TargetMode="External"/><Relationship Id="rId573" Type="http://schemas.openxmlformats.org/officeDocument/2006/relationships/hyperlink" Target="https://www.itu.int/ITU-T/recommendations/rec.aspx?id=13669" TargetMode="External"/><Relationship Id="rId780" Type="http://schemas.openxmlformats.org/officeDocument/2006/relationships/hyperlink" Target="https://www.itu.int/ITU-T/recommendations/rec.aspx?id=13508&amp;lang=en" TargetMode="External"/><Relationship Id="rId226" Type="http://schemas.openxmlformats.org/officeDocument/2006/relationships/hyperlink" Target="mailto:https://www.itu.int/ITU-T/recommendations/rec.aspx?id=13487&amp;lang=en" TargetMode="External"/><Relationship Id="rId433" Type="http://schemas.openxmlformats.org/officeDocument/2006/relationships/hyperlink" Target="http://www.itu.int/ITU-T/recommendations/rec.aspx?rec=7350" TargetMode="External"/><Relationship Id="rId878" Type="http://schemas.openxmlformats.org/officeDocument/2006/relationships/hyperlink" Target="http://www.itu.int/ITU-T/recommendations/rec.aspx?id=11012&amp;lang=en" TargetMode="External"/><Relationship Id="rId640" Type="http://schemas.openxmlformats.org/officeDocument/2006/relationships/hyperlink" Target="http://www.itu.int/ITU-T/recommendations/rec.aspx?id=11614&amp;lang=en" TargetMode="External"/><Relationship Id="rId738" Type="http://schemas.openxmlformats.org/officeDocument/2006/relationships/hyperlink" Target="https://www.itu.int/ITU-T/recommendations/rec.aspx?id=13388&amp;lang=en" TargetMode="External"/><Relationship Id="rId945" Type="http://schemas.openxmlformats.org/officeDocument/2006/relationships/hyperlink" Target="https://www.itu.int/en/ITU-D/Regional-Presence/AsiaPacific/Pages/Events/2018/ssceg2018/home.aspx" TargetMode="External"/><Relationship Id="rId74" Type="http://schemas.openxmlformats.org/officeDocument/2006/relationships/hyperlink" Target="http://www.itu.int/en/ITU-T/Workshops-and-Seminars/201612/Pages/Programme.aspx" TargetMode="External"/><Relationship Id="rId377" Type="http://schemas.openxmlformats.org/officeDocument/2006/relationships/hyperlink" Target="http://www.itu.int/ITU-T/recommendations/rec.aspx?rec=4961" TargetMode="External"/><Relationship Id="rId500" Type="http://schemas.openxmlformats.org/officeDocument/2006/relationships/hyperlink" Target="https://www.itu.int/rec/T-REC-G.8271.2-201803-I!Amd1" TargetMode="External"/><Relationship Id="rId584" Type="http://schemas.openxmlformats.org/officeDocument/2006/relationships/hyperlink" Target="http://www.itu.int/rec/T-REC-X/recommendation.asp?lang=en&amp;parent=T-REC-X.509" TargetMode="External"/><Relationship Id="rId805" Type="http://schemas.openxmlformats.org/officeDocument/2006/relationships/hyperlink" Target="http://www.itu.int/ITU-T/recommendations/rec.aspx?rec=12756" TargetMode="External"/><Relationship Id="rId5" Type="http://schemas.openxmlformats.org/officeDocument/2006/relationships/webSettings" Target="webSettings.xml"/><Relationship Id="rId237" Type="http://schemas.openxmlformats.org/officeDocument/2006/relationships/hyperlink" Target="mailto:https://www.itu.int/ITU-T/recommendations/rec.aspx?id=13488&amp;lang=en" TargetMode="External"/><Relationship Id="rId791" Type="http://schemas.openxmlformats.org/officeDocument/2006/relationships/hyperlink" Target="http://www.itu.int/ITU-T/recommendations/rec.aspx?rec=12229" TargetMode="External"/><Relationship Id="rId889" Type="http://schemas.openxmlformats.org/officeDocument/2006/relationships/hyperlink" Target="http://www.itu.int/ITU-T/recommendations/rec.aspx?id=12605&amp;lang=en" TargetMode="External"/><Relationship Id="rId444" Type="http://schemas.openxmlformats.org/officeDocument/2006/relationships/hyperlink" Target="https://www.itu.int/rec/T-REC-G.996.2-201712-I!Amd5" TargetMode="External"/><Relationship Id="rId651" Type="http://schemas.openxmlformats.org/officeDocument/2006/relationships/hyperlink" Target="http://www.itu.int/ITU-T/recommendations/rec.aspx?id=12490&amp;lang=en" TargetMode="External"/><Relationship Id="rId749" Type="http://schemas.openxmlformats.org/officeDocument/2006/relationships/hyperlink" Target="http://www.itu.int/ITU-T/recommendations/rec.aspx?rec=11010" TargetMode="External"/><Relationship Id="rId290" Type="http://schemas.openxmlformats.org/officeDocument/2006/relationships/hyperlink" Target="https://www.itu.int/ITU-T/recommendations/rec.aspx?id=13608" TargetMode="External"/><Relationship Id="rId304" Type="http://schemas.openxmlformats.org/officeDocument/2006/relationships/hyperlink" Target="https://www.itu.int/ITU-T/recommendations/rec.aspx?id=13254&amp;lang=en" TargetMode="External"/><Relationship Id="rId388" Type="http://schemas.openxmlformats.org/officeDocument/2006/relationships/hyperlink" Target="http://www.itu.int/ITU-T/recommendations/rec.aspx?id=11124&amp;lang=en" TargetMode="External"/><Relationship Id="rId511" Type="http://schemas.openxmlformats.org/officeDocument/2006/relationships/hyperlink" Target="https://www.itu.int/rec/T-REC-G.8275.1-201708-I!Amd1" TargetMode="External"/><Relationship Id="rId609" Type="http://schemas.openxmlformats.org/officeDocument/2006/relationships/hyperlink" Target="https://www.itu.int/ITU-T/recommendations/rec.aspx?id=13260" TargetMode="External"/><Relationship Id="rId956" Type="http://schemas.openxmlformats.org/officeDocument/2006/relationships/hyperlink" Target="https://www.itu.int/en/ITU-T/Workshops-and-Seminars/gsw/Pages/default.aspx" TargetMode="External"/><Relationship Id="rId85" Type="http://schemas.openxmlformats.org/officeDocument/2006/relationships/hyperlink" Target="mailto:https://www.itu.int/ITU-T/recommendations/rec.aspx?id=13467&amp;lang=en" TargetMode="External"/><Relationship Id="rId150" Type="http://schemas.openxmlformats.org/officeDocument/2006/relationships/hyperlink" Target="http://www.itu.int/ITU-T/recommendations/rec.aspx?rec=12943" TargetMode="External"/><Relationship Id="rId595" Type="http://schemas.openxmlformats.org/officeDocument/2006/relationships/hyperlink" Target="https://www.itu.int/ITU-T/recommendations/rec.aspx?id=13366&amp;lang=en" TargetMode="External"/><Relationship Id="rId816" Type="http://schemas.openxmlformats.org/officeDocument/2006/relationships/hyperlink" Target="https://www.itu.int/ITU-T/E.119" TargetMode="External"/><Relationship Id="rId1001" Type="http://schemas.openxmlformats.org/officeDocument/2006/relationships/hyperlink" Target="https://www.itu.int/ITU-T/recommendations/rec.aspx?id=13392" TargetMode="External"/><Relationship Id="rId248" Type="http://schemas.openxmlformats.org/officeDocument/2006/relationships/hyperlink" Target="https://www.itu.int/rec/T-REC-E.802-201806-I!Amd2" TargetMode="External"/><Relationship Id="rId455" Type="http://schemas.openxmlformats.org/officeDocument/2006/relationships/hyperlink" Target="http://www.itu.int/ITU-T/recommendations/rec.aspx?rec=7090" TargetMode="External"/><Relationship Id="rId662" Type="http://schemas.openxmlformats.org/officeDocument/2006/relationships/hyperlink" Target="http://www.itu.int/ITU-T/recommendations/rec.aspx?id=3346&amp;lang=en" TargetMode="External"/><Relationship Id="rId12" Type="http://schemas.openxmlformats.org/officeDocument/2006/relationships/hyperlink" Target="https://www.itu.int/en/ITU-T/studygroups/2017-2020/20/sg20rgarb/Pages/default.aspx" TargetMode="External"/><Relationship Id="rId108" Type="http://schemas.openxmlformats.org/officeDocument/2006/relationships/hyperlink" Target="https://www.itu.int/ITU-T/recommendations/rec.aspx?id=13374" TargetMode="External"/><Relationship Id="rId315" Type="http://schemas.openxmlformats.org/officeDocument/2006/relationships/hyperlink" Target="http://www.itu.int/ITU-T/recommendations/rec.aspx?rec=868" TargetMode="External"/><Relationship Id="rId522" Type="http://schemas.openxmlformats.org/officeDocument/2006/relationships/hyperlink" Target="https://www.itu.int/rec/T-REC-G.9701-201808-I!Amd5" TargetMode="External"/><Relationship Id="rId967" Type="http://schemas.openxmlformats.org/officeDocument/2006/relationships/hyperlink" Target="https://www.itu.int/en/ITU-T/Workshops-and-Seminars/bsg/201703/Pages/default.aspx" TargetMode="External"/><Relationship Id="rId96" Type="http://schemas.openxmlformats.org/officeDocument/2006/relationships/hyperlink" Target="https://www.itu.int/ITU-T/recommendations/rec.aspx?id=13660&amp;lang=en" TargetMode="External"/><Relationship Id="rId161" Type="http://schemas.openxmlformats.org/officeDocument/2006/relationships/hyperlink" Target="https://www.itu.int/ITU-T/recommendations/rec.aspx?id=13683" TargetMode="External"/><Relationship Id="rId399" Type="http://schemas.openxmlformats.org/officeDocument/2006/relationships/hyperlink" Target="http://www.itu.int/ITU-T/recommendations/rec.aspx?rec=8542" TargetMode="External"/><Relationship Id="rId827" Type="http://schemas.openxmlformats.org/officeDocument/2006/relationships/hyperlink" Target="http://www.itu.int/ITU-T/recommendations/rec.aspx?rec=12890" TargetMode="External"/><Relationship Id="rId1012" Type="http://schemas.openxmlformats.org/officeDocument/2006/relationships/hyperlink" Target="http://www.itu.int/ITU-T/recommendations/rec.aspx?id=13190&amp;lang=en" TargetMode="External"/><Relationship Id="rId259" Type="http://schemas.openxmlformats.org/officeDocument/2006/relationships/hyperlink" Target="https://www.itu.int/ITU-T/recommendations/rec.aspx?id=13173" TargetMode="External"/><Relationship Id="rId466" Type="http://schemas.openxmlformats.org/officeDocument/2006/relationships/hyperlink" Target="https://www.itu.int/ITU-T/recommendations/rec.aspx?id=13092&amp;lang=en" TargetMode="External"/><Relationship Id="rId673" Type="http://schemas.openxmlformats.org/officeDocument/2006/relationships/hyperlink" Target="https://www.itu.int/ITU-T/recommendations/rec.aspx?rec=12289" TargetMode="External"/><Relationship Id="rId880" Type="http://schemas.openxmlformats.org/officeDocument/2006/relationships/hyperlink" Target="http://www.itu.int/ITU-T/recommendations/rec.aspx?id=11914&amp;lang=en" TargetMode="External"/><Relationship Id="rId23" Type="http://schemas.openxmlformats.org/officeDocument/2006/relationships/hyperlink" Target="mailto:https://www.itu.int/ITU-T/recommendations/rec.aspx?id=13457&amp;lang=en" TargetMode="External"/><Relationship Id="rId119" Type="http://schemas.openxmlformats.org/officeDocument/2006/relationships/hyperlink" Target="http://www.itu.int/ITU-T/recommendations/rec.aspx?rec=12916" TargetMode="External"/><Relationship Id="rId326" Type="http://schemas.openxmlformats.org/officeDocument/2006/relationships/hyperlink" Target="https://www.itu.int/ITU-T/recommendations/rec.aspx?id=10868&amp;lang=en" TargetMode="External"/><Relationship Id="rId533" Type="http://schemas.openxmlformats.org/officeDocument/2006/relationships/hyperlink" Target="http://www.itu.int/ITU-T/recommendations/rec.aspx?rec=12400" TargetMode="External"/><Relationship Id="rId978" Type="http://schemas.openxmlformats.org/officeDocument/2006/relationships/hyperlink" Target="https://www.itu.int/en/ITU-T/Workshops-and-Seminars/bsg/20180424/Pages/default.aspx" TargetMode="External"/><Relationship Id="rId740" Type="http://schemas.openxmlformats.org/officeDocument/2006/relationships/hyperlink" Target="http://www.itu.int/ITU-T/recommendations/rec.aspx?rec=11671" TargetMode="External"/><Relationship Id="rId838" Type="http://schemas.openxmlformats.org/officeDocument/2006/relationships/hyperlink" Target="http://www.itu.int/ITU-T/recommendations/rec.aspx?id=8847&amp;lang=en" TargetMode="External"/><Relationship Id="rId1023" Type="http://schemas.openxmlformats.org/officeDocument/2006/relationships/hyperlink" Target="http://www.itu.int/oth/T2301000011/en" TargetMode="External"/><Relationship Id="rId172" Type="http://schemas.openxmlformats.org/officeDocument/2006/relationships/hyperlink" Target="http://www.itu.int/pub/publications.aspx?lang=en&amp;parent=T-TUT-EHT-2015" TargetMode="External"/><Relationship Id="rId477" Type="http://schemas.openxmlformats.org/officeDocument/2006/relationships/hyperlink" Target="https://www.itu.int/rec/T-REC-G.8113.2-201708-I!Amd1" TargetMode="External"/><Relationship Id="rId600" Type="http://schemas.openxmlformats.org/officeDocument/2006/relationships/hyperlink" Target="https://www.itu.int/ITU-T/recommendations/rec.aspx?id=13182" TargetMode="External"/><Relationship Id="rId684" Type="http://schemas.openxmlformats.org/officeDocument/2006/relationships/hyperlink" Target="https://www.itu.int/ITU-T/recommendations/rec.aspx?id=13280&amp;lang=en" TargetMode="External"/><Relationship Id="rId337" Type="http://schemas.openxmlformats.org/officeDocument/2006/relationships/hyperlink" Target="http://www.itu.int/ITU-T/recommendations/rec.aspx?rec=8537" TargetMode="External"/><Relationship Id="rId891" Type="http://schemas.openxmlformats.org/officeDocument/2006/relationships/hyperlink" Target="http://www.itu.int/ITU-T/recommendations/rec.aspx?id=12850&amp;lang=en" TargetMode="External"/><Relationship Id="rId905" Type="http://schemas.openxmlformats.org/officeDocument/2006/relationships/hyperlink" Target="http://www.itu.int/en/ITU-T/ssc/Pages/default.aspx" TargetMode="External"/><Relationship Id="rId989" Type="http://schemas.openxmlformats.org/officeDocument/2006/relationships/hyperlink" Target="https://www.itu.int/en/ITU-T/Workshops-and-Seminars/bsg/201806/Pages/default.aspx" TargetMode="External"/><Relationship Id="rId34" Type="http://schemas.openxmlformats.org/officeDocument/2006/relationships/hyperlink" Target="http://www.itu.int/ITU-T/recommendations/rec.aspx?rec=12428" TargetMode="External"/><Relationship Id="rId544" Type="http://schemas.openxmlformats.org/officeDocument/2006/relationships/hyperlink" Target="https://www.itu.int/ITU-T/recommendations/rec.aspx?id=13295&amp;lang=en-US" TargetMode="External"/><Relationship Id="rId751" Type="http://schemas.openxmlformats.org/officeDocument/2006/relationships/hyperlink" Target="http://www.itu.int/ITU-T/recommendations/rec.aspx?rec=12420" TargetMode="External"/><Relationship Id="rId849" Type="http://schemas.openxmlformats.org/officeDocument/2006/relationships/hyperlink" Target="http://www.itu.int/ITU-T/recommendations/rec.aspx?rec=12629" TargetMode="External"/><Relationship Id="rId183" Type="http://schemas.openxmlformats.org/officeDocument/2006/relationships/hyperlink" Target="https://www.itu.int/ifa/t/fg/swm/docs/Draft_Deliverables/fg-swm-i-0037-r2-KPIs-Feb20.doc" TargetMode="External"/><Relationship Id="rId390" Type="http://schemas.openxmlformats.org/officeDocument/2006/relationships/hyperlink" Target="http://www.itu.int/ITU-T/recommendations/rec.aspx?id=5188&amp;lang=en" TargetMode="External"/><Relationship Id="rId404" Type="http://schemas.openxmlformats.org/officeDocument/2006/relationships/hyperlink" Target="http://www.itu.int/ITU-T/recommendations/rec.aspx?rec=6273" TargetMode="External"/><Relationship Id="rId611" Type="http://schemas.openxmlformats.org/officeDocument/2006/relationships/hyperlink" Target="http://www.itu.int/ITU-T/recommendations/rec.aspx?id=9136&amp;lang=en" TargetMode="External"/><Relationship Id="rId1034" Type="http://schemas.openxmlformats.org/officeDocument/2006/relationships/hyperlink" Target="https://www.itu.int/en/ITU-T/Workshops-and-Seminars/20171123/Pages/default.aspx" TargetMode="External"/><Relationship Id="rId250" Type="http://schemas.openxmlformats.org/officeDocument/2006/relationships/hyperlink" Target="https://www.itu.int/ITU-T/recommendations/rec.aspx?id=13621&amp;lang=en" TargetMode="External"/><Relationship Id="rId488" Type="http://schemas.openxmlformats.org/officeDocument/2006/relationships/hyperlink" Target="http://www.itu.int/ITU-T/recommendations/rec.aspx?rec=11524" TargetMode="External"/><Relationship Id="rId695" Type="http://schemas.openxmlformats.org/officeDocument/2006/relationships/hyperlink" Target="https://www.itu.int/ITU-T/recommendations/rec.aspx?id=13716&amp;lang=en" TargetMode="External"/><Relationship Id="rId709" Type="http://schemas.openxmlformats.org/officeDocument/2006/relationships/hyperlink" Target="https://www.itu.int/net4/itu-t/roadmap" TargetMode="External"/><Relationship Id="rId916" Type="http://schemas.openxmlformats.org/officeDocument/2006/relationships/hyperlink" Target="http://www.itu.int/pub/T-TUT-IPTV-2017-H702" TargetMode="External"/><Relationship Id="rId45" Type="http://schemas.openxmlformats.org/officeDocument/2006/relationships/hyperlink" Target="mailto:https://www.itu.int/ITU-T/recommendations/rec.aspx?id=13459&amp;lang=en" TargetMode="External"/><Relationship Id="rId110" Type="http://schemas.openxmlformats.org/officeDocument/2006/relationships/hyperlink" Target="https://www.itu.int/ITU-T/recommendations/rec.aspx?id=13378" TargetMode="External"/><Relationship Id="rId348" Type="http://schemas.openxmlformats.org/officeDocument/2006/relationships/hyperlink" Target="http://www.itu.int/ITU-T/recommendations/rec.aspx?rec=10392" TargetMode="External"/><Relationship Id="rId555" Type="http://schemas.openxmlformats.org/officeDocument/2006/relationships/hyperlink" Target="http://www.itu.int/ITU-T/recommendations/rec.aspx?id=7107&amp;lang=en" TargetMode="External"/><Relationship Id="rId762" Type="http://schemas.openxmlformats.org/officeDocument/2006/relationships/hyperlink" Target="http://www.itu.int/ITU-T/recommendations/rec.aspx?rec=13026" TargetMode="External"/><Relationship Id="rId194" Type="http://schemas.openxmlformats.org/officeDocument/2006/relationships/hyperlink" Target="https://www.itu.int/ITU-T/recommendations/rec.aspx?id=13480&amp;lang=en" TargetMode="External"/><Relationship Id="rId208" Type="http://schemas.openxmlformats.org/officeDocument/2006/relationships/hyperlink" Target="https://www.itu.int/ITU-T/recommendations/rec.aspx?rec=12768" TargetMode="External"/><Relationship Id="rId415" Type="http://schemas.openxmlformats.org/officeDocument/2006/relationships/hyperlink" Target="http://www.itu.int/ITU-T/recommendations/rec.aspx?rec=12832" TargetMode="External"/><Relationship Id="rId622" Type="http://schemas.openxmlformats.org/officeDocument/2006/relationships/hyperlink" Target="https://www.itu.int/ITU-T/recommendations/rec.aspx?id=13727&amp;lang=en" TargetMode="External"/><Relationship Id="rId1045" Type="http://schemas.openxmlformats.org/officeDocument/2006/relationships/hyperlink" Target="https://www.itu.int/en/ITU-T/Workshops-and-Seminars/20180712/Pages/default.aspx" TargetMode="External"/><Relationship Id="rId261" Type="http://schemas.openxmlformats.org/officeDocument/2006/relationships/hyperlink" Target="https://www.itu.int/rec/T-REC-P.570-201806-P" TargetMode="External"/><Relationship Id="rId499" Type="http://schemas.openxmlformats.org/officeDocument/2006/relationships/hyperlink" Target="http://www.itu.int/ITU-T/recommendations/rec.aspx?rec=12034" TargetMode="External"/><Relationship Id="rId927" Type="http://schemas.openxmlformats.org/officeDocument/2006/relationships/hyperlink" Target="https://www.itu.int/en/ITU-D/Regional-Presence/Europe/Pages/Events/2018/FCTV/The-Future-of-Cable-TV.aspx" TargetMode="External"/><Relationship Id="rId56" Type="http://schemas.openxmlformats.org/officeDocument/2006/relationships/hyperlink" Target="file:///C:\_Euchner\_ITU-T\SDG\Y.2064" TargetMode="External"/><Relationship Id="rId359" Type="http://schemas.openxmlformats.org/officeDocument/2006/relationships/hyperlink" Target="http://www.itu.int/ITU-T/recommendations/rec.aspx?rec=13082" TargetMode="External"/><Relationship Id="rId566" Type="http://schemas.openxmlformats.org/officeDocument/2006/relationships/hyperlink" Target="https://www.itu.int/ITU-T/recommendations/rec.aspx?id=10987&amp;lang=en" TargetMode="External"/><Relationship Id="rId773" Type="http://schemas.openxmlformats.org/officeDocument/2006/relationships/hyperlink" Target="https://www.itu.int/ITU-T/recommendations/rec.aspx?id=13501&amp;lang=en" TargetMode="External"/><Relationship Id="rId121" Type="http://schemas.openxmlformats.org/officeDocument/2006/relationships/hyperlink" Target="http://www.itu.int/ITU-T/recommendations/rec.aspx?rec=12918" TargetMode="External"/><Relationship Id="rId219" Type="http://schemas.openxmlformats.org/officeDocument/2006/relationships/hyperlink" Target="https://www.itu.int/ITU-T/recommendations/rec.aspx?id=13697&amp;lang=en" TargetMode="External"/><Relationship Id="rId426" Type="http://schemas.openxmlformats.org/officeDocument/2006/relationships/hyperlink" Target="http://www.itu.int/ITU-T/recommendations/rec.aspx?rec=7073" TargetMode="External"/><Relationship Id="rId633" Type="http://schemas.openxmlformats.org/officeDocument/2006/relationships/hyperlink" Target="http://www.itu.int/ITU-T/recommendations/rec.aspx?id=11374&amp;lang=en" TargetMode="External"/><Relationship Id="rId980" Type="http://schemas.openxmlformats.org/officeDocument/2006/relationships/hyperlink" Target="https://www.itu.int/en/ITU-T/Workshops-and-Seminars/20180425/Pages/default.aspx" TargetMode="External"/><Relationship Id="rId840" Type="http://schemas.openxmlformats.org/officeDocument/2006/relationships/hyperlink" Target="http://www.itu.int/ITU-T/recommendations/rec.aspx?id=7157&amp;lang=en" TargetMode="External"/><Relationship Id="rId938" Type="http://schemas.openxmlformats.org/officeDocument/2006/relationships/hyperlink" Target="https://www.itu.int/en/ITU-T/Workshops-and-Seminars/qos/201707/Pages/default.aspx" TargetMode="External"/><Relationship Id="rId67" Type="http://schemas.openxmlformats.org/officeDocument/2006/relationships/hyperlink" Target="http://www.itu.int/ITU-T/recommendations/rec.aspx?rec=12420" TargetMode="External"/><Relationship Id="rId272" Type="http://schemas.openxmlformats.org/officeDocument/2006/relationships/hyperlink" Target="http://www.itu.int/ITU-T/recommendations/rec.aspx?id=13161&amp;lang=en" TargetMode="External"/><Relationship Id="rId577" Type="http://schemas.openxmlformats.org/officeDocument/2006/relationships/hyperlink" Target="https://www.itu.int/ITU-T/recommendations/rec.aspx?id=13438&amp;lang=en" TargetMode="External"/><Relationship Id="rId700" Type="http://schemas.openxmlformats.org/officeDocument/2006/relationships/hyperlink" Target="https://www.itu.int/ITU-T/recommendations/rec.aspx?rec=13473" TargetMode="External"/><Relationship Id="rId132" Type="http://schemas.openxmlformats.org/officeDocument/2006/relationships/hyperlink" Target="http://www.itu.int/ITU-T/recommendations/rec.aspx?rec=12929" TargetMode="External"/><Relationship Id="rId784" Type="http://schemas.openxmlformats.org/officeDocument/2006/relationships/hyperlink" Target="https://www.itu.int/ITU-T/recommendations/rec.aspx?id=13512&amp;lang=en" TargetMode="External"/><Relationship Id="rId991" Type="http://schemas.openxmlformats.org/officeDocument/2006/relationships/hyperlink" Target="https://www.itu.int/en/ITU-T/Workshops-and-Seminars/qos/201809/Pages/default.aspx" TargetMode="External"/><Relationship Id="rId437" Type="http://schemas.openxmlformats.org/officeDocument/2006/relationships/hyperlink" Target="http://www.itu.int/ITU-T/recommendations/rec.aspx?rec=11644" TargetMode="External"/><Relationship Id="rId644" Type="http://schemas.openxmlformats.org/officeDocument/2006/relationships/hyperlink" Target="https://www.itu.int/ITU-T/recommendations/rec.aspx?id=13198&amp;lang=en-UShttps://www.itu.int/ITU-T/recommendations/rec.aspx?id=13198" TargetMode="External"/><Relationship Id="rId851" Type="http://schemas.openxmlformats.org/officeDocument/2006/relationships/hyperlink" Target="http://www.itu.int/ITU-T/recommendations/rec.aspx?rec=13149" TargetMode="External"/><Relationship Id="rId283" Type="http://schemas.openxmlformats.org/officeDocument/2006/relationships/hyperlink" Target="http://www.itu.int/en/ITU-T/focusgroups/imt-2020/Documents/FG_IMT-2020_Deliverables_2016.zip" TargetMode="External"/><Relationship Id="rId490" Type="http://schemas.openxmlformats.org/officeDocument/2006/relationships/hyperlink" Target="https://www.itu.int/rec/T-REC-G.8264-201803-P!Amd1" TargetMode="External"/><Relationship Id="rId504" Type="http://schemas.openxmlformats.org/officeDocument/2006/relationships/hyperlink" Target="https://www.itu.int/rec/T-REC-G.8272.1-201708-I!Amd1" TargetMode="External"/><Relationship Id="rId711" Type="http://schemas.openxmlformats.org/officeDocument/2006/relationships/hyperlink" Target="http://www.itu.int/ITU-T/recommendations/rec.aspx?rec=12621" TargetMode="External"/><Relationship Id="rId949" Type="http://schemas.openxmlformats.org/officeDocument/2006/relationships/hyperlink" Target="https://sites.grenadine.co/sites/iot/en/iot-week-2017/schedule/267/GIoTS+%22IPV6-based+IoT+Deployment+Around+the+World%22" TargetMode="External"/><Relationship Id="rId78" Type="http://schemas.openxmlformats.org/officeDocument/2006/relationships/hyperlink" Target="https://www.itu.int/ITU-T/recommendations/rec.aspx?id=13349&amp;lang=en-US" TargetMode="External"/><Relationship Id="rId143" Type="http://schemas.openxmlformats.org/officeDocument/2006/relationships/hyperlink" Target="http://www.itu.int/ITU-T/recommendations/rec.aspx?rec=12936" TargetMode="External"/><Relationship Id="rId350" Type="http://schemas.openxmlformats.org/officeDocument/2006/relationships/hyperlink" Target="http://www.itu.int/ITU-T/recommendations/rec.aspx?rec=7057" TargetMode="External"/><Relationship Id="rId588" Type="http://schemas.openxmlformats.org/officeDocument/2006/relationships/hyperlink" Target="https://www.itu.int/ITU-T/recommendations/rec.aspx?id=13036" TargetMode="External"/><Relationship Id="rId795" Type="http://schemas.openxmlformats.org/officeDocument/2006/relationships/hyperlink" Target="http://www.itu.int/ITU-T/recommendations/rec.aspx?rec=11668" TargetMode="External"/><Relationship Id="rId809" Type="http://schemas.openxmlformats.org/officeDocument/2006/relationships/hyperlink" Target="http://www.itu.int/ITU-T/recommendations/rec.aspx?id=12884&amp;lang=en" TargetMode="External"/><Relationship Id="rId9" Type="http://schemas.openxmlformats.org/officeDocument/2006/relationships/hyperlink" Target="https://www.itu.int/en/ITU-T/Workshops-and-Seminars/gsw/201704/Pages/programme-20170404.aspx" TargetMode="External"/><Relationship Id="rId210" Type="http://schemas.openxmlformats.org/officeDocument/2006/relationships/hyperlink" Target="https://www.itu.int/ITU-T/recommendations/rec.aspx?id=13054" TargetMode="External"/><Relationship Id="rId448" Type="http://schemas.openxmlformats.org/officeDocument/2006/relationships/hyperlink" Target="https://www.itu.int/rec/T-REC-G.997.1-201712-P!Amd7" TargetMode="External"/><Relationship Id="rId655" Type="http://schemas.openxmlformats.org/officeDocument/2006/relationships/hyperlink" Target="https://www.itu.int/ITU-T/recommendations/rec.aspx?id=13410&amp;lang=en" TargetMode="External"/><Relationship Id="rId862" Type="http://schemas.openxmlformats.org/officeDocument/2006/relationships/hyperlink" Target="http://www.itu.int/ITU-T/recommendations/rec.aspx?rec=8612&amp;lang=en" TargetMode="External"/><Relationship Id="rId294" Type="http://schemas.openxmlformats.org/officeDocument/2006/relationships/hyperlink" Target="http://www.itu.int/ITU-T/recommendations/rec.aspx?id=13252&amp;lang=en" TargetMode="External"/><Relationship Id="rId308" Type="http://schemas.openxmlformats.org/officeDocument/2006/relationships/hyperlink" Target="http://www.itu.int/ITU-T/recommendations/rec.aspx?rec=12584" TargetMode="External"/><Relationship Id="rId515" Type="http://schemas.openxmlformats.org/officeDocument/2006/relationships/hyperlink" Target="https://www.itu.int/rec/T-REC-G.8275.2-201708-P!Amd1" TargetMode="External"/><Relationship Id="rId722" Type="http://schemas.openxmlformats.org/officeDocument/2006/relationships/hyperlink" Target="http://www.itu.int/ITU-T/recommendations/rec.aspx?rec=12226" TargetMode="External"/><Relationship Id="rId89" Type="http://schemas.openxmlformats.org/officeDocument/2006/relationships/hyperlink" Target="http://www.itu.int/pub/publications.aspx?lang=en&amp;parent=T-TUT-TRUST-2015-1" TargetMode="External"/><Relationship Id="rId154" Type="http://schemas.openxmlformats.org/officeDocument/2006/relationships/hyperlink" Target="https://www.itu.int/rec/T-REC-H.845.10-201704-I" TargetMode="External"/><Relationship Id="rId361" Type="http://schemas.openxmlformats.org/officeDocument/2006/relationships/hyperlink" Target="https://www.itu.int/ITU-T/recommendations/rec.aspx?id=13523&amp;lang=en" TargetMode="External"/><Relationship Id="rId599" Type="http://schemas.openxmlformats.org/officeDocument/2006/relationships/hyperlink" Target="http://www.itu.int/rec/T-REC-X.1054-201209-I/en" TargetMode="External"/><Relationship Id="rId1005" Type="http://schemas.openxmlformats.org/officeDocument/2006/relationships/hyperlink" Target="http://www.itu.int/ITU-T/recommendations/rec.aspx?id=12245&amp;lang=en" TargetMode="External"/><Relationship Id="rId459" Type="http://schemas.openxmlformats.org/officeDocument/2006/relationships/hyperlink" Target="https://www.itu.int/ITU-T/recommendations/rec.aspx?id=13756&amp;lang=en" TargetMode="External"/><Relationship Id="rId666" Type="http://schemas.openxmlformats.org/officeDocument/2006/relationships/hyperlink" Target="http://www.itu.int/ITU-T/recommendations/rec.aspx?rec=13130" TargetMode="External"/><Relationship Id="rId873" Type="http://schemas.openxmlformats.org/officeDocument/2006/relationships/hyperlink" Target="http://www.itu.int/ITU-T/recommendations/rec.aspx?id=12150&amp;lang=en" TargetMode="External"/><Relationship Id="rId16" Type="http://schemas.openxmlformats.org/officeDocument/2006/relationships/hyperlink" Target="http://www.itu.int/en/ITU-T/focusgroups/dfs/Pages/default.aspx" TargetMode="External"/><Relationship Id="rId221" Type="http://schemas.openxmlformats.org/officeDocument/2006/relationships/hyperlink" Target="mailto:https://www.itu.int/ITU-T/recommendations/rec.aspx?id=13484&amp;lang=en" TargetMode="External"/><Relationship Id="rId319" Type="http://schemas.openxmlformats.org/officeDocument/2006/relationships/hyperlink" Target="http://www.itu.int/ITU-T/recommendations/rec.aspx?rec=872" TargetMode="External"/><Relationship Id="rId526" Type="http://schemas.openxmlformats.org/officeDocument/2006/relationships/hyperlink" Target="https://www.itu.int/ITU-T/recommendations/rec.aspx?id=12834&amp;lang=en" TargetMode="External"/><Relationship Id="rId733" Type="http://schemas.openxmlformats.org/officeDocument/2006/relationships/hyperlink" Target="https://www.itu.int/ITU-T/recommendations/rec.aspx?id=13496&amp;lang=en" TargetMode="External"/><Relationship Id="rId940" Type="http://schemas.openxmlformats.org/officeDocument/2006/relationships/hyperlink" Target="https://www.itu.int/en/ITU-T/Workshops-and-Seminars/20180530/Pages/default.aspx" TargetMode="External"/><Relationship Id="rId1016" Type="http://schemas.openxmlformats.org/officeDocument/2006/relationships/hyperlink" Target="http://www.itu.int/oth/T2301000023/en" TargetMode="External"/><Relationship Id="rId165" Type="http://schemas.openxmlformats.org/officeDocument/2006/relationships/hyperlink" Target="http://www.itu.int/ITU-T/recommendations/rec.aspx?rec=12956" TargetMode="External"/><Relationship Id="rId372" Type="http://schemas.openxmlformats.org/officeDocument/2006/relationships/hyperlink" Target="http://www.itu.int/ITU-T/recommendations/rec.aspx?rec=4943" TargetMode="External"/><Relationship Id="rId677" Type="http://schemas.openxmlformats.org/officeDocument/2006/relationships/hyperlink" Target="http://www.itu.int/ITU-T/recommendations/rec.aspx?rec=13135" TargetMode="External"/><Relationship Id="rId800" Type="http://schemas.openxmlformats.org/officeDocument/2006/relationships/hyperlink" Target="http://www.itu.int/ITU-T/recommendations/rec.aspx?rec=12662" TargetMode="External"/><Relationship Id="rId232" Type="http://schemas.openxmlformats.org/officeDocument/2006/relationships/hyperlink" Target="https://www.itu.int/ITU-T/recommendations/rec.aspx?rec=12495" TargetMode="External"/><Relationship Id="rId884" Type="http://schemas.openxmlformats.org/officeDocument/2006/relationships/hyperlink" Target="http://www.itu.int/ITU-T/recommendations/rec.aspx?id=9456&amp;lang=en" TargetMode="External"/><Relationship Id="rId27" Type="http://schemas.openxmlformats.org/officeDocument/2006/relationships/hyperlink" Target="http://www.itu.int/ITU-T/recommendations/rec.aspx?rec=13144" TargetMode="External"/><Relationship Id="rId537" Type="http://schemas.openxmlformats.org/officeDocument/2006/relationships/hyperlink" Target="http://www.itu.int/ITU-T/recommendations/rec.aspx?rec=12402" TargetMode="External"/><Relationship Id="rId744" Type="http://schemas.openxmlformats.org/officeDocument/2006/relationships/hyperlink" Target="http://www.itu.int/ITU-T/recommendations/rec.aspx?rec=12051" TargetMode="External"/><Relationship Id="rId951" Type="http://schemas.openxmlformats.org/officeDocument/2006/relationships/hyperlink" Target="https://www.itu.int/en/ITU-T/Workshops-and-Seminars/iot/201703/Pages/default.aspx" TargetMode="External"/><Relationship Id="rId80" Type="http://schemas.openxmlformats.org/officeDocument/2006/relationships/hyperlink" Target="https://www.itu.int/ITU-T/recommendations/rec.aspx?id=13610&amp;lang=en" TargetMode="External"/><Relationship Id="rId176" Type="http://schemas.openxmlformats.org/officeDocument/2006/relationships/hyperlink" Target="https://www.itu.int/ifa/t/fg/swm/docs/Finalized_Deliverables/fg-swm-i-007r1-The-role-of-ICTs-in-water-resource-management-clean.docx" TargetMode="External"/><Relationship Id="rId383" Type="http://schemas.openxmlformats.org/officeDocument/2006/relationships/hyperlink" Target="https://www.itu.int/ITU-T/recommendations/rec.aspx?id=12793&amp;lang=en" TargetMode="External"/><Relationship Id="rId590" Type="http://schemas.openxmlformats.org/officeDocument/2006/relationships/hyperlink" Target="https://www.itu.int/ITU-T/recommendations/rec.aspx?id=13038" TargetMode="External"/><Relationship Id="rId604" Type="http://schemas.openxmlformats.org/officeDocument/2006/relationships/hyperlink" Target="https://www.itu.int/ITU-T/recommendations/rec.aspx?id=13194" TargetMode="External"/><Relationship Id="rId811" Type="http://schemas.openxmlformats.org/officeDocument/2006/relationships/hyperlink" Target="http://www.itu.int/ITU-T/recommendations/rec.aspx?rec=12759" TargetMode="External"/><Relationship Id="rId1027" Type="http://schemas.openxmlformats.org/officeDocument/2006/relationships/hyperlink" Target="https://www.itu.int/en/ITU-T/Workshops-and-Seminars/itu-ngmn/Pages/20170111.aspx" TargetMode="External"/><Relationship Id="rId243" Type="http://schemas.openxmlformats.org/officeDocument/2006/relationships/hyperlink" Target="mailto:https://www.itu.int/ITU-T/recommendations/rec.aspx?id=13492&amp;lang=en" TargetMode="External"/><Relationship Id="rId450" Type="http://schemas.openxmlformats.org/officeDocument/2006/relationships/hyperlink" Target="https://www.itu.int/rec/T-REC-G.997.2-201704-I!Amd3" TargetMode="External"/><Relationship Id="rId688" Type="http://schemas.openxmlformats.org/officeDocument/2006/relationships/hyperlink" Target="https://www.itu.int/ITU-T/recommendations/rec.aspx?id=13453&amp;lang=en" TargetMode="External"/><Relationship Id="rId895" Type="http://schemas.openxmlformats.org/officeDocument/2006/relationships/hyperlink" Target="https://www.itu.int/en/publications/Documents/tsb/2017-U4SSC-Deliverable-Connecting-Cities/index.html" TargetMode="External"/><Relationship Id="rId909" Type="http://schemas.openxmlformats.org/officeDocument/2006/relationships/hyperlink" Target="http://www.itu.int/en/ITU-T/C-I/interop/I3GT/Pages/default.aspx" TargetMode="External"/><Relationship Id="rId38" Type="http://schemas.openxmlformats.org/officeDocument/2006/relationships/hyperlink" Target="file:///C:\_Euchner\_ITU-T\SDG\&#8226;%09Recommendation%20ITU-T%20L.1315%20" TargetMode="External"/><Relationship Id="rId103" Type="http://schemas.openxmlformats.org/officeDocument/2006/relationships/hyperlink" Target="https://www.itu.int/ITU-T/recommendations/rec.aspx?id=13712&amp;lang=en" TargetMode="External"/><Relationship Id="rId310" Type="http://schemas.openxmlformats.org/officeDocument/2006/relationships/hyperlink" Target="https://www.itu.int/ITU-T/recommendations/rec.aspx?id=13470&amp;lang=en" TargetMode="External"/><Relationship Id="rId548" Type="http://schemas.openxmlformats.org/officeDocument/2006/relationships/hyperlink" Target="https://www.itu.int/ITU-T/recommendations/rec.aspx?id=13567&amp;lang=en" TargetMode="External"/><Relationship Id="rId755" Type="http://schemas.openxmlformats.org/officeDocument/2006/relationships/hyperlink" Target="http://www.itu.int/ITU-T/recommendations/rec.aspx?rec=12623" TargetMode="External"/><Relationship Id="rId962" Type="http://schemas.openxmlformats.org/officeDocument/2006/relationships/hyperlink" Target="https://www.itu.int/en/ITU-T/studygroups/2017-2020/16/Pages/ws/201710_FutureCDN.aspx" TargetMode="External"/><Relationship Id="rId91" Type="http://schemas.openxmlformats.org/officeDocument/2006/relationships/hyperlink" Target="https://www.itu.int/en/ITU-T/focusgroups/net2030/Pages/default.aspx" TargetMode="External"/><Relationship Id="rId187" Type="http://schemas.openxmlformats.org/officeDocument/2006/relationships/hyperlink" Target="http://www.itu.int/ITU-T/recommendations/rec.aspx?rec=12691" TargetMode="External"/><Relationship Id="rId394" Type="http://schemas.openxmlformats.org/officeDocument/2006/relationships/hyperlink" Target="http://www.itu.int/ITU-T/recommendations/rec.aspx?id=10885&amp;lang=en" TargetMode="External"/><Relationship Id="rId408" Type="http://schemas.openxmlformats.org/officeDocument/2006/relationships/hyperlink" Target="https://www.itu.int/rec/T-REC-G.984.5-201805-I!Amd1" TargetMode="External"/><Relationship Id="rId615" Type="http://schemas.openxmlformats.org/officeDocument/2006/relationships/hyperlink" Target="http://www.itu.int/ITU-T/recommendations/rec.aspx?id=10829&amp;lang=en" TargetMode="External"/><Relationship Id="rId822" Type="http://schemas.openxmlformats.org/officeDocument/2006/relationships/hyperlink" Target="http://www.itu.int/ITU-T/recommendations/rec.aspx?rec=12131" TargetMode="External"/><Relationship Id="rId1038" Type="http://schemas.openxmlformats.org/officeDocument/2006/relationships/hyperlink" Target="https://www.itu.int/en/ITU-T/AI/2018/Pages/default.aspx" TargetMode="External"/><Relationship Id="rId254" Type="http://schemas.openxmlformats.org/officeDocument/2006/relationships/hyperlink" Target="http://www.itu.int/ITU-T/recommendations/rec.aspx?id=13125&amp;lang=en" TargetMode="External"/><Relationship Id="rId699" Type="http://schemas.openxmlformats.org/officeDocument/2006/relationships/hyperlink" Target="https://www.itu.int/ITU-T/recommendations/rec.aspx?rec=13472" TargetMode="External"/><Relationship Id="rId49" Type="http://schemas.openxmlformats.org/officeDocument/2006/relationships/hyperlink" Target="http://www.itu.int/ITU-T/recommendations/rec.aspx?rec=13148" TargetMode="External"/><Relationship Id="rId114" Type="http://schemas.openxmlformats.org/officeDocument/2006/relationships/hyperlink" Target="http://www.itu.int/ITU-T/recommendations/rec.aspx?rec=12911http://www.itu.int/ITU-T/recommendations/rec.aspx?rec=12911" TargetMode="External"/><Relationship Id="rId461" Type="http://schemas.openxmlformats.org/officeDocument/2006/relationships/hyperlink" Target="https://www.itu.int/ITU-T/recommendations/rec.aspx?id=13761&amp;lang=en" TargetMode="External"/><Relationship Id="rId559" Type="http://schemas.openxmlformats.org/officeDocument/2006/relationships/hyperlink" Target="https://www.itu.int/ITU-T/recommendations/rec.aspx?id=12839" TargetMode="External"/><Relationship Id="rId766" Type="http://schemas.openxmlformats.org/officeDocument/2006/relationships/hyperlink" Target="http://www.itu.int/ITU-T/recommendations/rec.aspx?rec=9465" TargetMode="External"/><Relationship Id="rId198" Type="http://schemas.openxmlformats.org/officeDocument/2006/relationships/hyperlink" Target="http://www.itu.int/ITU-T/recommendations/rec.aspx?rec=12963" TargetMode="External"/><Relationship Id="rId321" Type="http://schemas.openxmlformats.org/officeDocument/2006/relationships/hyperlink" Target="https://www.itu.int/ITU-T/recommendations/rec.aspx?id=874" TargetMode="External"/><Relationship Id="rId419" Type="http://schemas.openxmlformats.org/officeDocument/2006/relationships/hyperlink" Target="http://www.itu.int/ITU-T/recommendations/rec.aspx?rec=11784" TargetMode="External"/><Relationship Id="rId626" Type="http://schemas.openxmlformats.org/officeDocument/2006/relationships/hyperlink" Target="https://www.itu.int/ITU-T/recommendations/rec.aspx?id=13196" TargetMode="External"/><Relationship Id="rId973" Type="http://schemas.openxmlformats.org/officeDocument/2006/relationships/hyperlink" Target="http://www.salon-auto.ch/en/" TargetMode="External"/><Relationship Id="rId1049" Type="http://schemas.openxmlformats.org/officeDocument/2006/relationships/hyperlink" Target="https://www.itu.int/en/ITU-T/Workshops-and-Seminars/20181008/Pages/default.aspx" TargetMode="External"/><Relationship Id="rId833" Type="http://schemas.openxmlformats.org/officeDocument/2006/relationships/hyperlink" Target="http://www.itu.int/ITU-T/recommendations/rec.aspx?rec=131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356CC-21B3-457C-BFBB-08982F323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307</Pages>
  <Words>111856</Words>
  <Characters>637584</Characters>
  <Application>Microsoft Office Word</Application>
  <DocSecurity>4</DocSecurity>
  <Lines>5313</Lines>
  <Paragraphs>1495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747945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TSB-MEU</dc:creator>
  <cp:keywords/>
  <dc:description/>
  <cp:lastModifiedBy>Al-Mnini, Lara</cp:lastModifiedBy>
  <cp:revision>2</cp:revision>
  <cp:lastPrinted>2017-03-02T14:41:00Z</cp:lastPrinted>
  <dcterms:created xsi:type="dcterms:W3CDTF">2018-12-06T09:20:00Z</dcterms:created>
  <dcterms:modified xsi:type="dcterms:W3CDTF">2018-12-06T09:20:00Z</dcterms:modified>
</cp:coreProperties>
</file>